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charts/chart8.xml" ContentType="application/vnd.openxmlformats-officedocument.drawingml.chart+xml"/>
  <Override PartName="/word/charts/style8.xml" ContentType="application/vnd.ms-office.chartstyle+xml"/>
  <Override PartName="/word/charts/colors8.xml" ContentType="application/vnd.ms-office.chartcolorstyle+xml"/>
  <Override PartName="/word/charts/chart9.xml" ContentType="application/vnd.openxmlformats-officedocument.drawingml.chart+xml"/>
  <Override PartName="/word/charts/style9.xml" ContentType="application/vnd.ms-office.chartstyle+xml"/>
  <Override PartName="/word/charts/colors9.xml" ContentType="application/vnd.ms-office.chartcolorstyle+xml"/>
  <Override PartName="/word/charts/chart10.xml" ContentType="application/vnd.openxmlformats-officedocument.drawingml.chart+xml"/>
  <Override PartName="/word/charts/style10.xml" ContentType="application/vnd.ms-office.chartstyle+xml"/>
  <Override PartName="/word/charts/colors10.xml" ContentType="application/vnd.ms-office.chartcolorstyle+xml"/>
  <Override PartName="/word/charts/chart11.xml" ContentType="application/vnd.openxmlformats-officedocument.drawingml.chart+xml"/>
  <Override PartName="/word/charts/style11.xml" ContentType="application/vnd.ms-office.chartstyle+xml"/>
  <Override PartName="/word/charts/colors11.xml" ContentType="application/vnd.ms-office.chartcolorstyle+xml"/>
  <Override PartName="/word/charts/chart12.xml" ContentType="application/vnd.openxmlformats-officedocument.drawingml.chart+xml"/>
  <Override PartName="/word/charts/style12.xml" ContentType="application/vnd.ms-office.chartstyle+xml"/>
  <Override PartName="/word/charts/colors12.xml" ContentType="application/vnd.ms-office.chartcolorstyle+xml"/>
  <Override PartName="/word/charts/chart13.xml" ContentType="application/vnd.openxmlformats-officedocument.drawingml.chart+xml"/>
  <Override PartName="/word/charts/style13.xml" ContentType="application/vnd.ms-office.chartstyle+xml"/>
  <Override PartName="/word/charts/colors13.xml" ContentType="application/vnd.ms-office.chartcolorstyle+xml"/>
  <Override PartName="/word/charts/chart14.xml" ContentType="application/vnd.openxmlformats-officedocument.drawingml.chart+xml"/>
  <Override PartName="/word/charts/style14.xml" ContentType="application/vnd.ms-office.chartstyle+xml"/>
  <Override PartName="/word/charts/colors14.xml" ContentType="application/vnd.ms-office.chartcolorstyle+xml"/>
  <Override PartName="/word/charts/chart15.xml" ContentType="application/vnd.openxmlformats-officedocument.drawingml.chart+xml"/>
  <Override PartName="/word/charts/style15.xml" ContentType="application/vnd.ms-office.chartstyle+xml"/>
  <Override PartName="/word/charts/colors15.xml" ContentType="application/vnd.ms-office.chartcolorstyle+xml"/>
  <Override PartName="/word/charts/chart16.xml" ContentType="application/vnd.openxmlformats-officedocument.drawingml.chart+xml"/>
  <Override PartName="/word/charts/style16.xml" ContentType="application/vnd.ms-office.chartstyle+xml"/>
  <Override PartName="/word/charts/colors16.xml" ContentType="application/vnd.ms-office.chartcolorstyle+xml"/>
  <Override PartName="/word/charts/chart17.xml" ContentType="application/vnd.openxmlformats-officedocument.drawingml.chart+xml"/>
  <Override PartName="/word/charts/style17.xml" ContentType="application/vnd.ms-office.chartstyle+xml"/>
  <Override PartName="/word/charts/colors17.xml" ContentType="application/vnd.ms-office.chartcolorstyle+xml"/>
  <Override PartName="/word/charts/chart18.xml" ContentType="application/vnd.openxmlformats-officedocument.drawingml.chart+xml"/>
  <Override PartName="/word/charts/style18.xml" ContentType="application/vnd.ms-office.chartstyle+xml"/>
  <Override PartName="/word/charts/colors18.xml" ContentType="application/vnd.ms-office.chartcolorstyle+xml"/>
  <Override PartName="/word/charts/chart19.xml" ContentType="application/vnd.openxmlformats-officedocument.drawingml.chart+xml"/>
  <Override PartName="/word/charts/style19.xml" ContentType="application/vnd.ms-office.chartstyle+xml"/>
  <Override PartName="/word/charts/colors19.xml" ContentType="application/vnd.ms-office.chartcolorstyle+xml"/>
  <Override PartName="/word/charts/chart20.xml" ContentType="application/vnd.openxmlformats-officedocument.drawingml.chart+xml"/>
  <Override PartName="/word/charts/style20.xml" ContentType="application/vnd.ms-office.chartstyle+xml"/>
  <Override PartName="/word/charts/colors20.xml" ContentType="application/vnd.ms-office.chartcolorstyle+xml"/>
  <Override PartName="/word/charts/chart21.xml" ContentType="application/vnd.openxmlformats-officedocument.drawingml.chart+xml"/>
  <Override PartName="/word/charts/style21.xml" ContentType="application/vnd.ms-office.chartstyle+xml"/>
  <Override PartName="/word/charts/colors21.xml" ContentType="application/vnd.ms-office.chartcolorstyle+xml"/>
  <Override PartName="/word/charts/chart22.xml" ContentType="application/vnd.openxmlformats-officedocument.drawingml.chart+xml"/>
  <Override PartName="/word/charts/style22.xml" ContentType="application/vnd.ms-office.chartstyle+xml"/>
  <Override PartName="/word/charts/colors22.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5E75FC" w14:textId="395D0DFD" w:rsidR="00867127" w:rsidRDefault="00C94CD4" w:rsidP="00C94CD4">
      <w:pPr>
        <w:pStyle w:val="JRCText"/>
        <w:jc w:val="center"/>
        <w:rPr>
          <w:rFonts w:ascii="EC Square Sans Cond Pro" w:hAnsi="EC Square Sans Cond Pro"/>
          <w:color w:val="0F4761" w:themeColor="accent1" w:themeShade="BF"/>
          <w:sz w:val="70"/>
          <w:szCs w:val="70"/>
        </w:rPr>
      </w:pPr>
      <w:bookmarkStart w:id="0" w:name="_Toc184834293"/>
      <w:bookmarkStart w:id="1" w:name="_Toc221016418"/>
      <w:bookmarkStart w:id="2" w:name="_Toc220918810"/>
      <w:r w:rsidRPr="00C94CD4">
        <w:rPr>
          <w:rFonts w:ascii="EC Square Sans Cond Pro" w:hAnsi="EC Square Sans Cond Pro"/>
          <w:color w:val="0F4761" w:themeColor="accent1" w:themeShade="BF"/>
          <w:sz w:val="70"/>
          <w:szCs w:val="70"/>
        </w:rPr>
        <w:t>Montenegro S3 quantitative report on mapping potential</w:t>
      </w:r>
      <w:bookmarkEnd w:id="0"/>
      <w:bookmarkEnd w:id="1"/>
    </w:p>
    <w:p w14:paraId="21B8C8EF" w14:textId="77777777" w:rsidR="00C94CD4" w:rsidRDefault="00C94CD4" w:rsidP="00C94CD4">
      <w:pPr>
        <w:pStyle w:val="JRCText"/>
        <w:jc w:val="center"/>
        <w:rPr>
          <w:rFonts w:ascii="EC Square Sans Cond Pro" w:hAnsi="EC Square Sans Cond Pro"/>
          <w:color w:val="0F4761" w:themeColor="accent1" w:themeShade="BF"/>
          <w:sz w:val="70"/>
          <w:szCs w:val="70"/>
        </w:rPr>
      </w:pPr>
    </w:p>
    <w:p w14:paraId="0C570C61" w14:textId="77777777" w:rsidR="00DA657E" w:rsidRDefault="00DA657E" w:rsidP="00C94CD4">
      <w:pPr>
        <w:pStyle w:val="JRCText"/>
        <w:jc w:val="center"/>
        <w:rPr>
          <w:rFonts w:ascii="EC Square Sans Cond Pro" w:hAnsi="EC Square Sans Cond Pro"/>
          <w:color w:val="0F4761" w:themeColor="accent1" w:themeShade="BF"/>
          <w:sz w:val="70"/>
          <w:szCs w:val="70"/>
        </w:rPr>
      </w:pPr>
    </w:p>
    <w:p w14:paraId="23C35AA9" w14:textId="77777777" w:rsidR="00DA657E" w:rsidRDefault="00DA657E" w:rsidP="00C94CD4">
      <w:pPr>
        <w:pStyle w:val="JRCText"/>
        <w:jc w:val="center"/>
        <w:rPr>
          <w:rFonts w:ascii="EC Square Sans Cond Pro" w:hAnsi="EC Square Sans Cond Pro"/>
          <w:color w:val="0F4761" w:themeColor="accent1" w:themeShade="BF"/>
          <w:sz w:val="70"/>
          <w:szCs w:val="70"/>
        </w:rPr>
      </w:pPr>
    </w:p>
    <w:p w14:paraId="13FA8F0E" w14:textId="77777777" w:rsidR="00DA657E" w:rsidRDefault="00DA657E" w:rsidP="00C94CD4">
      <w:pPr>
        <w:pStyle w:val="JRCText"/>
        <w:jc w:val="center"/>
        <w:rPr>
          <w:rFonts w:ascii="EC Square Sans Cond Pro" w:hAnsi="EC Square Sans Cond Pro"/>
          <w:color w:val="0F4761" w:themeColor="accent1" w:themeShade="BF"/>
          <w:sz w:val="70"/>
          <w:szCs w:val="70"/>
        </w:rPr>
      </w:pPr>
    </w:p>
    <w:p w14:paraId="07C75FD8" w14:textId="38365AE7" w:rsidR="008F7114" w:rsidRDefault="00DA657E" w:rsidP="008F7114">
      <w:pPr>
        <w:pStyle w:val="JRCText"/>
        <w:jc w:val="center"/>
        <w:rPr>
          <w:rFonts w:ascii="EC Square Sans Cond Pro" w:hAnsi="EC Square Sans Cond Pro"/>
          <w:color w:val="0F4761" w:themeColor="accent1" w:themeShade="BF"/>
          <w:sz w:val="36"/>
          <w:szCs w:val="36"/>
        </w:rPr>
      </w:pPr>
      <w:r w:rsidRPr="00DA657E">
        <w:rPr>
          <w:rFonts w:ascii="EC Square Sans Cond Pro" w:hAnsi="EC Square Sans Cond Pro"/>
          <w:color w:val="0F4761" w:themeColor="accent1" w:themeShade="BF"/>
          <w:sz w:val="36"/>
          <w:szCs w:val="36"/>
        </w:rPr>
        <w:t xml:space="preserve">Excerpt from </w:t>
      </w:r>
      <w:r w:rsidR="008F7114">
        <w:rPr>
          <w:rFonts w:ascii="EC Square Sans Cond Pro" w:hAnsi="EC Square Sans Cond Pro"/>
          <w:color w:val="0F4761" w:themeColor="accent1" w:themeShade="BF"/>
          <w:sz w:val="36"/>
          <w:szCs w:val="36"/>
        </w:rPr>
        <w:t>EC-</w:t>
      </w:r>
      <w:r w:rsidRPr="00DA657E">
        <w:rPr>
          <w:rFonts w:ascii="EC Square Sans Cond Pro" w:hAnsi="EC Square Sans Cond Pro"/>
          <w:color w:val="0F4761" w:themeColor="accent1" w:themeShade="BF"/>
          <w:sz w:val="36"/>
          <w:szCs w:val="36"/>
        </w:rPr>
        <w:t xml:space="preserve">JRC Report </w:t>
      </w:r>
    </w:p>
    <w:p w14:paraId="4DB9CFE2" w14:textId="5A0187E6" w:rsidR="00C94CD4" w:rsidRPr="00DA657E" w:rsidRDefault="00DA657E" w:rsidP="008F7114">
      <w:pPr>
        <w:pStyle w:val="JRCText"/>
        <w:jc w:val="center"/>
        <w:rPr>
          <w:rFonts w:ascii="EC Square Sans Cond Pro" w:hAnsi="EC Square Sans Cond Pro"/>
          <w:color w:val="0F4761" w:themeColor="accent1" w:themeShade="BF"/>
          <w:sz w:val="36"/>
          <w:szCs w:val="36"/>
        </w:rPr>
      </w:pPr>
      <w:r w:rsidRPr="00DA657E">
        <w:rPr>
          <w:rFonts w:ascii="EC Square Sans Cond Pro" w:hAnsi="EC Square Sans Cond Pro"/>
          <w:color w:val="0F4761" w:themeColor="accent1" w:themeShade="BF"/>
          <w:sz w:val="36"/>
          <w:szCs w:val="36"/>
        </w:rPr>
        <w:t>“</w:t>
      </w:r>
      <w:r w:rsidRPr="00DA657E">
        <w:rPr>
          <w:rFonts w:ascii="EC Square Sans Cond Pro" w:hAnsi="EC Square Sans Cond Pro"/>
          <w:i/>
          <w:iCs/>
          <w:color w:val="0F4761" w:themeColor="accent1" w:themeShade="BF"/>
          <w:sz w:val="36"/>
          <w:szCs w:val="36"/>
        </w:rPr>
        <w:t xml:space="preserve">Mapping Montenegro’s potential in the context of Smart </w:t>
      </w:r>
      <w:r>
        <w:rPr>
          <w:rFonts w:ascii="EC Square Sans Cond Pro" w:hAnsi="EC Square Sans Cond Pro"/>
          <w:i/>
          <w:iCs/>
          <w:color w:val="0F4761" w:themeColor="accent1" w:themeShade="BF"/>
          <w:sz w:val="36"/>
          <w:szCs w:val="36"/>
        </w:rPr>
        <w:t>S</w:t>
      </w:r>
      <w:r w:rsidRPr="00DA657E">
        <w:rPr>
          <w:rFonts w:ascii="EC Square Sans Cond Pro" w:hAnsi="EC Square Sans Cond Pro"/>
          <w:i/>
          <w:iCs/>
          <w:color w:val="0F4761" w:themeColor="accent1" w:themeShade="BF"/>
          <w:sz w:val="36"/>
          <w:szCs w:val="36"/>
        </w:rPr>
        <w:t>pecialisation</w:t>
      </w:r>
      <w:r w:rsidRPr="00DA657E">
        <w:rPr>
          <w:rFonts w:ascii="EC Square Sans Cond Pro" w:hAnsi="EC Square Sans Cond Pro"/>
          <w:color w:val="0F4761" w:themeColor="accent1" w:themeShade="BF"/>
          <w:sz w:val="36"/>
          <w:szCs w:val="36"/>
        </w:rPr>
        <w:t>”</w:t>
      </w:r>
      <w:r w:rsidR="008F7114">
        <w:rPr>
          <w:rStyle w:val="FootnoteReference"/>
          <w:rFonts w:ascii="EC Square Sans Cond Pro" w:hAnsi="EC Square Sans Cond Pro"/>
          <w:color w:val="0F4761" w:themeColor="accent1" w:themeShade="BF"/>
          <w:sz w:val="36"/>
          <w:szCs w:val="36"/>
        </w:rPr>
        <w:footnoteReference w:id="1"/>
      </w:r>
      <w:r w:rsidRPr="00DA657E">
        <w:rPr>
          <w:rFonts w:ascii="EC Square Sans Cond Pro" w:hAnsi="EC Square Sans Cond Pro"/>
          <w:color w:val="0F4761" w:themeColor="accent1" w:themeShade="BF"/>
          <w:sz w:val="36"/>
          <w:szCs w:val="36"/>
        </w:rPr>
        <w:t xml:space="preserve"> </w:t>
      </w:r>
    </w:p>
    <w:sdt>
      <w:sdtPr>
        <w:rPr>
          <w:rFonts w:asciiTheme="minorHAnsi" w:eastAsiaTheme="minorHAnsi" w:hAnsiTheme="minorHAnsi" w:cstheme="minorBidi"/>
          <w:color w:val="auto"/>
          <w:spacing w:val="0"/>
          <w:sz w:val="22"/>
          <w:szCs w:val="22"/>
          <w:lang w:val="en-GB" w:eastAsia="en-US"/>
        </w:rPr>
        <w:id w:val="483743585"/>
        <w:docPartObj>
          <w:docPartGallery w:val="Table of Contents"/>
          <w:docPartUnique/>
        </w:docPartObj>
      </w:sdtPr>
      <w:sdtEndPr>
        <w:rPr>
          <w:b/>
          <w:bCs/>
          <w:noProof/>
        </w:rPr>
      </w:sdtEndPr>
      <w:sdtContent>
        <w:p w14:paraId="38D2D5AE" w14:textId="0FEE7354" w:rsidR="00C94CD4" w:rsidRPr="00C94CD4" w:rsidRDefault="00C94CD4" w:rsidP="00C94CD4">
          <w:pPr>
            <w:pStyle w:val="JRCFrontCover-Title"/>
            <w:framePr w:wrap="auto" w:vAnchor="margin" w:yAlign="inline"/>
            <w:ind w:left="0"/>
            <w:rPr>
              <w:rFonts w:eastAsiaTheme="majorEastAsia" w:cstheme="majorBidi"/>
              <w:b/>
              <w:color w:val="0F4761" w:themeColor="accent1" w:themeShade="BF"/>
              <w:sz w:val="40"/>
              <w:szCs w:val="40"/>
              <w:lang w:eastAsia="en-US"/>
            </w:rPr>
          </w:pPr>
          <w:proofErr w:type="spellStart"/>
          <w:r w:rsidRPr="00C94CD4">
            <w:rPr>
              <w:rFonts w:eastAsiaTheme="majorEastAsia" w:cstheme="majorBidi"/>
              <w:b/>
              <w:color w:val="0F4761" w:themeColor="accent1" w:themeShade="BF"/>
              <w:sz w:val="40"/>
              <w:szCs w:val="40"/>
              <w:lang w:eastAsia="en-US"/>
            </w:rPr>
            <w:t>Contents</w:t>
          </w:r>
          <w:proofErr w:type="spellEnd"/>
        </w:p>
        <w:p w14:paraId="0B5C3A1F" w14:textId="77777777" w:rsidR="00C94CD4" w:rsidRDefault="00C94CD4" w:rsidP="00C94CD4">
          <w:pPr>
            <w:pStyle w:val="TOC1"/>
            <w:rPr>
              <w:rFonts w:eastAsiaTheme="minorEastAsia" w:cstheme="minorBidi"/>
              <w:noProof/>
              <w:kern w:val="2"/>
              <w:sz w:val="24"/>
              <w:szCs w:val="24"/>
              <w:lang w:val="en-150" w:eastAsia="en-150"/>
              <w14:ligatures w14:val="standardContextual"/>
            </w:rPr>
          </w:pPr>
          <w:r>
            <w:fldChar w:fldCharType="begin"/>
          </w:r>
          <w:r>
            <w:instrText xml:space="preserve"> TOC \o "1-3" \h \z \u </w:instrText>
          </w:r>
          <w:r>
            <w:fldChar w:fldCharType="separate"/>
          </w:r>
          <w:hyperlink w:anchor="_Toc221016417" w:history="1">
            <w:r w:rsidRPr="000A0828">
              <w:rPr>
                <w:rStyle w:val="Hyperlink"/>
                <w:noProof/>
              </w:rPr>
              <w:t>Montenegro S3 quantitative report on mapping potentia</w:t>
            </w:r>
            <w:r w:rsidRPr="000A0828">
              <w:rPr>
                <w:rStyle w:val="Hyperlink"/>
                <w:noProof/>
                <w:lang w:val="en-IE"/>
              </w:rPr>
              <w:t>l</w:t>
            </w:r>
            <w:r>
              <w:rPr>
                <w:noProof/>
                <w:webHidden/>
              </w:rPr>
              <w:tab/>
            </w:r>
            <w:r>
              <w:rPr>
                <w:noProof/>
                <w:webHidden/>
              </w:rPr>
              <w:fldChar w:fldCharType="begin"/>
            </w:r>
            <w:r>
              <w:rPr>
                <w:noProof/>
                <w:webHidden/>
              </w:rPr>
              <w:instrText xml:space="preserve"> PAGEREF _Toc221016417 \h </w:instrText>
            </w:r>
            <w:r>
              <w:rPr>
                <w:noProof/>
                <w:webHidden/>
              </w:rPr>
            </w:r>
            <w:r>
              <w:rPr>
                <w:noProof/>
                <w:webHidden/>
              </w:rPr>
              <w:fldChar w:fldCharType="separate"/>
            </w:r>
            <w:r>
              <w:rPr>
                <w:noProof/>
                <w:webHidden/>
              </w:rPr>
              <w:t>1</w:t>
            </w:r>
            <w:r>
              <w:rPr>
                <w:noProof/>
                <w:webHidden/>
              </w:rPr>
              <w:fldChar w:fldCharType="end"/>
            </w:r>
          </w:hyperlink>
        </w:p>
        <w:p w14:paraId="6C2E7CCB" w14:textId="77777777" w:rsidR="00C94CD4" w:rsidRDefault="00C94CD4" w:rsidP="00C94CD4">
          <w:pPr>
            <w:pStyle w:val="TOC1"/>
            <w:rPr>
              <w:rFonts w:eastAsiaTheme="minorEastAsia" w:cstheme="minorBidi"/>
              <w:noProof/>
              <w:kern w:val="2"/>
              <w:sz w:val="24"/>
              <w:szCs w:val="24"/>
              <w:lang w:val="en-150" w:eastAsia="en-150"/>
              <w14:ligatures w14:val="standardContextual"/>
            </w:rPr>
          </w:pPr>
          <w:hyperlink w:anchor="_Toc221016418" w:history="1">
            <w:r w:rsidRPr="000A0828">
              <w:rPr>
                <w:rStyle w:val="Hyperlink"/>
                <w:b/>
                <w:bCs/>
                <w:noProof/>
              </w:rPr>
              <w:t>Abstract</w:t>
            </w:r>
            <w:r>
              <w:rPr>
                <w:noProof/>
                <w:webHidden/>
              </w:rPr>
              <w:tab/>
            </w:r>
            <w:r>
              <w:rPr>
                <w:noProof/>
                <w:webHidden/>
              </w:rPr>
              <w:fldChar w:fldCharType="begin"/>
            </w:r>
            <w:r>
              <w:rPr>
                <w:noProof/>
                <w:webHidden/>
              </w:rPr>
              <w:instrText xml:space="preserve"> PAGEREF _Toc221016418 \h </w:instrText>
            </w:r>
            <w:r>
              <w:rPr>
                <w:noProof/>
                <w:webHidden/>
              </w:rPr>
            </w:r>
            <w:r>
              <w:rPr>
                <w:noProof/>
                <w:webHidden/>
              </w:rPr>
              <w:fldChar w:fldCharType="separate"/>
            </w:r>
            <w:r>
              <w:rPr>
                <w:noProof/>
                <w:webHidden/>
              </w:rPr>
              <w:t>3</w:t>
            </w:r>
            <w:r>
              <w:rPr>
                <w:noProof/>
                <w:webHidden/>
              </w:rPr>
              <w:fldChar w:fldCharType="end"/>
            </w:r>
          </w:hyperlink>
        </w:p>
        <w:p w14:paraId="4E76672A" w14:textId="77777777" w:rsidR="00C94CD4" w:rsidRDefault="00C94CD4" w:rsidP="00C94CD4">
          <w:pPr>
            <w:pStyle w:val="TOC1"/>
            <w:rPr>
              <w:rFonts w:eastAsiaTheme="minorEastAsia" w:cstheme="minorBidi"/>
              <w:noProof/>
              <w:kern w:val="2"/>
              <w:sz w:val="24"/>
              <w:szCs w:val="24"/>
              <w:lang w:val="en-150" w:eastAsia="en-150"/>
              <w14:ligatures w14:val="standardContextual"/>
            </w:rPr>
          </w:pPr>
          <w:hyperlink w:anchor="_Toc221016419" w:history="1">
            <w:r w:rsidRPr="000A0828">
              <w:rPr>
                <w:rStyle w:val="Hyperlink"/>
                <w:b/>
                <w:bCs/>
                <w:noProof/>
              </w:rPr>
              <w:t>1.</w:t>
            </w:r>
            <w:r>
              <w:rPr>
                <w:rFonts w:eastAsiaTheme="minorEastAsia" w:cstheme="minorBidi"/>
                <w:noProof/>
                <w:kern w:val="2"/>
                <w:sz w:val="24"/>
                <w:szCs w:val="24"/>
                <w:lang w:val="en-150" w:eastAsia="en-150"/>
                <w14:ligatures w14:val="standardContextual"/>
              </w:rPr>
              <w:tab/>
            </w:r>
            <w:r w:rsidRPr="000A0828">
              <w:rPr>
                <w:rStyle w:val="Hyperlink"/>
                <w:b/>
                <w:bCs/>
                <w:noProof/>
              </w:rPr>
              <w:t>Introduction</w:t>
            </w:r>
            <w:r>
              <w:rPr>
                <w:noProof/>
                <w:webHidden/>
              </w:rPr>
              <w:tab/>
            </w:r>
            <w:r>
              <w:rPr>
                <w:noProof/>
                <w:webHidden/>
              </w:rPr>
              <w:fldChar w:fldCharType="begin"/>
            </w:r>
            <w:r>
              <w:rPr>
                <w:noProof/>
                <w:webHidden/>
              </w:rPr>
              <w:instrText xml:space="preserve"> PAGEREF _Toc221016419 \h </w:instrText>
            </w:r>
            <w:r>
              <w:rPr>
                <w:noProof/>
                <w:webHidden/>
              </w:rPr>
            </w:r>
            <w:r>
              <w:rPr>
                <w:noProof/>
                <w:webHidden/>
              </w:rPr>
              <w:fldChar w:fldCharType="separate"/>
            </w:r>
            <w:r>
              <w:rPr>
                <w:noProof/>
                <w:webHidden/>
              </w:rPr>
              <w:t>4</w:t>
            </w:r>
            <w:r>
              <w:rPr>
                <w:noProof/>
                <w:webHidden/>
              </w:rPr>
              <w:fldChar w:fldCharType="end"/>
            </w:r>
          </w:hyperlink>
        </w:p>
        <w:p w14:paraId="2F6093FF" w14:textId="77777777" w:rsidR="00C94CD4" w:rsidRDefault="00C94CD4" w:rsidP="00C94CD4">
          <w:pPr>
            <w:pStyle w:val="TOC1"/>
            <w:rPr>
              <w:rFonts w:eastAsiaTheme="minorEastAsia" w:cstheme="minorBidi"/>
              <w:noProof/>
              <w:kern w:val="2"/>
              <w:sz w:val="24"/>
              <w:szCs w:val="24"/>
              <w:lang w:val="en-150" w:eastAsia="en-150"/>
              <w14:ligatures w14:val="standardContextual"/>
            </w:rPr>
          </w:pPr>
          <w:hyperlink w:anchor="_Toc221016420" w:history="1">
            <w:r w:rsidRPr="000A0828">
              <w:rPr>
                <w:rStyle w:val="Hyperlink"/>
                <w:b/>
                <w:bCs/>
                <w:noProof/>
              </w:rPr>
              <w:t>2.</w:t>
            </w:r>
            <w:r>
              <w:rPr>
                <w:rFonts w:eastAsiaTheme="minorEastAsia" w:cstheme="minorBidi"/>
                <w:noProof/>
                <w:kern w:val="2"/>
                <w:sz w:val="24"/>
                <w:szCs w:val="24"/>
                <w:lang w:val="en-150" w:eastAsia="en-150"/>
                <w14:ligatures w14:val="standardContextual"/>
              </w:rPr>
              <w:tab/>
            </w:r>
            <w:r w:rsidRPr="000A0828">
              <w:rPr>
                <w:rStyle w:val="Hyperlink"/>
                <w:b/>
                <w:bCs/>
                <w:noProof/>
              </w:rPr>
              <w:t>Quantitative mapping</w:t>
            </w:r>
            <w:r>
              <w:rPr>
                <w:noProof/>
                <w:webHidden/>
              </w:rPr>
              <w:tab/>
            </w:r>
            <w:r>
              <w:rPr>
                <w:noProof/>
                <w:webHidden/>
              </w:rPr>
              <w:fldChar w:fldCharType="begin"/>
            </w:r>
            <w:r>
              <w:rPr>
                <w:noProof/>
                <w:webHidden/>
              </w:rPr>
              <w:instrText xml:space="preserve"> PAGEREF _Toc221016420 \h </w:instrText>
            </w:r>
            <w:r>
              <w:rPr>
                <w:noProof/>
                <w:webHidden/>
              </w:rPr>
            </w:r>
            <w:r>
              <w:rPr>
                <w:noProof/>
                <w:webHidden/>
              </w:rPr>
              <w:fldChar w:fldCharType="separate"/>
            </w:r>
            <w:r>
              <w:rPr>
                <w:noProof/>
                <w:webHidden/>
              </w:rPr>
              <w:t>6</w:t>
            </w:r>
            <w:r>
              <w:rPr>
                <w:noProof/>
                <w:webHidden/>
              </w:rPr>
              <w:fldChar w:fldCharType="end"/>
            </w:r>
          </w:hyperlink>
        </w:p>
        <w:p w14:paraId="271A5A08" w14:textId="77777777" w:rsidR="00C94CD4" w:rsidRDefault="00C94CD4" w:rsidP="00C94CD4">
          <w:pPr>
            <w:pStyle w:val="TOC2"/>
            <w:rPr>
              <w:rFonts w:eastAsiaTheme="minorEastAsia" w:cstheme="minorBidi"/>
              <w:noProof/>
              <w:kern w:val="2"/>
              <w:sz w:val="24"/>
              <w:szCs w:val="24"/>
              <w:lang w:val="en-150" w:eastAsia="en-150"/>
              <w14:ligatures w14:val="standardContextual"/>
            </w:rPr>
          </w:pPr>
          <w:hyperlink w:anchor="_Toc221016421" w:history="1">
            <w:r w:rsidRPr="000A0828">
              <w:rPr>
                <w:rStyle w:val="Hyperlink"/>
                <w:noProof/>
              </w:rPr>
              <w:t>2.1.</w:t>
            </w:r>
            <w:r>
              <w:rPr>
                <w:rFonts w:eastAsiaTheme="minorEastAsia" w:cstheme="minorBidi"/>
                <w:noProof/>
                <w:kern w:val="2"/>
                <w:sz w:val="24"/>
                <w:szCs w:val="24"/>
                <w:lang w:val="en-150" w:eastAsia="en-150"/>
                <w14:ligatures w14:val="standardContextual"/>
              </w:rPr>
              <w:tab/>
            </w:r>
            <w:r w:rsidRPr="000A0828">
              <w:rPr>
                <w:rStyle w:val="Hyperlink"/>
                <w:noProof/>
              </w:rPr>
              <w:t>Economic context</w:t>
            </w:r>
            <w:r>
              <w:rPr>
                <w:noProof/>
                <w:webHidden/>
              </w:rPr>
              <w:tab/>
            </w:r>
            <w:r>
              <w:rPr>
                <w:noProof/>
                <w:webHidden/>
              </w:rPr>
              <w:fldChar w:fldCharType="begin"/>
            </w:r>
            <w:r>
              <w:rPr>
                <w:noProof/>
                <w:webHidden/>
              </w:rPr>
              <w:instrText xml:space="preserve"> PAGEREF _Toc221016421 \h </w:instrText>
            </w:r>
            <w:r>
              <w:rPr>
                <w:noProof/>
                <w:webHidden/>
              </w:rPr>
            </w:r>
            <w:r>
              <w:rPr>
                <w:noProof/>
                <w:webHidden/>
              </w:rPr>
              <w:fldChar w:fldCharType="separate"/>
            </w:r>
            <w:r>
              <w:rPr>
                <w:noProof/>
                <w:webHidden/>
              </w:rPr>
              <w:t>6</w:t>
            </w:r>
            <w:r>
              <w:rPr>
                <w:noProof/>
                <w:webHidden/>
              </w:rPr>
              <w:fldChar w:fldCharType="end"/>
            </w:r>
          </w:hyperlink>
        </w:p>
        <w:p w14:paraId="38FCA7D1" w14:textId="77777777" w:rsidR="00C94CD4" w:rsidRDefault="00C94CD4" w:rsidP="00C94CD4">
          <w:pPr>
            <w:pStyle w:val="TOC2"/>
            <w:rPr>
              <w:rFonts w:eastAsiaTheme="minorEastAsia" w:cstheme="minorBidi"/>
              <w:noProof/>
              <w:kern w:val="2"/>
              <w:sz w:val="24"/>
              <w:szCs w:val="24"/>
              <w:lang w:val="en-150" w:eastAsia="en-150"/>
              <w14:ligatures w14:val="standardContextual"/>
            </w:rPr>
          </w:pPr>
          <w:hyperlink w:anchor="_Toc221016422" w:history="1">
            <w:r w:rsidRPr="000A0828">
              <w:rPr>
                <w:rStyle w:val="Hyperlink"/>
                <w:noProof/>
              </w:rPr>
              <w:t>2.2.</w:t>
            </w:r>
            <w:r>
              <w:rPr>
                <w:rFonts w:eastAsiaTheme="minorEastAsia" w:cstheme="minorBidi"/>
                <w:noProof/>
                <w:kern w:val="2"/>
                <w:sz w:val="24"/>
                <w:szCs w:val="24"/>
                <w:lang w:val="en-150" w:eastAsia="en-150"/>
                <w14:ligatures w14:val="standardContextual"/>
              </w:rPr>
              <w:tab/>
            </w:r>
            <w:r w:rsidRPr="000A0828">
              <w:rPr>
                <w:rStyle w:val="Hyperlink"/>
                <w:noProof/>
              </w:rPr>
              <w:t>Regional disparities</w:t>
            </w:r>
            <w:r>
              <w:rPr>
                <w:noProof/>
                <w:webHidden/>
              </w:rPr>
              <w:tab/>
            </w:r>
            <w:r>
              <w:rPr>
                <w:noProof/>
                <w:webHidden/>
              </w:rPr>
              <w:fldChar w:fldCharType="begin"/>
            </w:r>
            <w:r>
              <w:rPr>
                <w:noProof/>
                <w:webHidden/>
              </w:rPr>
              <w:instrText xml:space="preserve"> PAGEREF _Toc221016422 \h </w:instrText>
            </w:r>
            <w:r>
              <w:rPr>
                <w:noProof/>
                <w:webHidden/>
              </w:rPr>
            </w:r>
            <w:r>
              <w:rPr>
                <w:noProof/>
                <w:webHidden/>
              </w:rPr>
              <w:fldChar w:fldCharType="separate"/>
            </w:r>
            <w:r>
              <w:rPr>
                <w:noProof/>
                <w:webHidden/>
              </w:rPr>
              <w:t>7</w:t>
            </w:r>
            <w:r>
              <w:rPr>
                <w:noProof/>
                <w:webHidden/>
              </w:rPr>
              <w:fldChar w:fldCharType="end"/>
            </w:r>
          </w:hyperlink>
        </w:p>
        <w:p w14:paraId="4FBEDEA2" w14:textId="77777777" w:rsidR="00C94CD4" w:rsidRDefault="00C94CD4" w:rsidP="00C94CD4">
          <w:pPr>
            <w:pStyle w:val="TOC2"/>
            <w:rPr>
              <w:rFonts w:eastAsiaTheme="minorEastAsia" w:cstheme="minorBidi"/>
              <w:noProof/>
              <w:kern w:val="2"/>
              <w:sz w:val="24"/>
              <w:szCs w:val="24"/>
              <w:lang w:val="en-150" w:eastAsia="en-150"/>
              <w14:ligatures w14:val="standardContextual"/>
            </w:rPr>
          </w:pPr>
          <w:hyperlink w:anchor="_Toc221016423" w:history="1">
            <w:r w:rsidRPr="000A0828">
              <w:rPr>
                <w:rStyle w:val="Hyperlink"/>
                <w:noProof/>
              </w:rPr>
              <w:t>2.3.</w:t>
            </w:r>
            <w:r>
              <w:rPr>
                <w:rFonts w:eastAsiaTheme="minorEastAsia" w:cstheme="minorBidi"/>
                <w:noProof/>
                <w:kern w:val="2"/>
                <w:sz w:val="24"/>
                <w:szCs w:val="24"/>
                <w:lang w:val="en-150" w:eastAsia="en-150"/>
                <w14:ligatures w14:val="standardContextual"/>
              </w:rPr>
              <w:tab/>
            </w:r>
            <w:r w:rsidRPr="000A0828">
              <w:rPr>
                <w:rStyle w:val="Hyperlink"/>
                <w:noProof/>
              </w:rPr>
              <w:t>Entrepreneurship and sales</w:t>
            </w:r>
            <w:r>
              <w:rPr>
                <w:noProof/>
                <w:webHidden/>
              </w:rPr>
              <w:tab/>
            </w:r>
            <w:r>
              <w:rPr>
                <w:noProof/>
                <w:webHidden/>
              </w:rPr>
              <w:fldChar w:fldCharType="begin"/>
            </w:r>
            <w:r>
              <w:rPr>
                <w:noProof/>
                <w:webHidden/>
              </w:rPr>
              <w:instrText xml:space="preserve"> PAGEREF _Toc221016423 \h </w:instrText>
            </w:r>
            <w:r>
              <w:rPr>
                <w:noProof/>
                <w:webHidden/>
              </w:rPr>
            </w:r>
            <w:r>
              <w:rPr>
                <w:noProof/>
                <w:webHidden/>
              </w:rPr>
              <w:fldChar w:fldCharType="separate"/>
            </w:r>
            <w:r>
              <w:rPr>
                <w:noProof/>
                <w:webHidden/>
              </w:rPr>
              <w:t>10</w:t>
            </w:r>
            <w:r>
              <w:rPr>
                <w:noProof/>
                <w:webHidden/>
              </w:rPr>
              <w:fldChar w:fldCharType="end"/>
            </w:r>
          </w:hyperlink>
        </w:p>
        <w:p w14:paraId="686FC14B" w14:textId="77777777" w:rsidR="00C94CD4" w:rsidRDefault="00C94CD4" w:rsidP="00C94CD4">
          <w:pPr>
            <w:pStyle w:val="TOC2"/>
            <w:rPr>
              <w:rFonts w:eastAsiaTheme="minorEastAsia" w:cstheme="minorBidi"/>
              <w:noProof/>
              <w:kern w:val="2"/>
              <w:sz w:val="24"/>
              <w:szCs w:val="24"/>
              <w:lang w:val="en-150" w:eastAsia="en-150"/>
              <w14:ligatures w14:val="standardContextual"/>
            </w:rPr>
          </w:pPr>
          <w:hyperlink w:anchor="_Toc221016424" w:history="1">
            <w:r w:rsidRPr="000A0828">
              <w:rPr>
                <w:rStyle w:val="Hyperlink"/>
                <w:noProof/>
              </w:rPr>
              <w:t>2.4.</w:t>
            </w:r>
            <w:r>
              <w:rPr>
                <w:rFonts w:eastAsiaTheme="minorEastAsia" w:cstheme="minorBidi"/>
                <w:noProof/>
                <w:kern w:val="2"/>
                <w:sz w:val="24"/>
                <w:szCs w:val="24"/>
                <w:lang w:val="en-150" w:eastAsia="en-150"/>
                <w14:ligatures w14:val="standardContextual"/>
              </w:rPr>
              <w:tab/>
            </w:r>
            <w:r w:rsidRPr="000A0828">
              <w:rPr>
                <w:rStyle w:val="Hyperlink"/>
                <w:noProof/>
              </w:rPr>
              <w:t>Economic Potential</w:t>
            </w:r>
            <w:r>
              <w:rPr>
                <w:noProof/>
                <w:webHidden/>
              </w:rPr>
              <w:tab/>
            </w:r>
            <w:r>
              <w:rPr>
                <w:noProof/>
                <w:webHidden/>
              </w:rPr>
              <w:fldChar w:fldCharType="begin"/>
            </w:r>
            <w:r>
              <w:rPr>
                <w:noProof/>
                <w:webHidden/>
              </w:rPr>
              <w:instrText xml:space="preserve"> PAGEREF _Toc221016424 \h </w:instrText>
            </w:r>
            <w:r>
              <w:rPr>
                <w:noProof/>
                <w:webHidden/>
              </w:rPr>
            </w:r>
            <w:r>
              <w:rPr>
                <w:noProof/>
                <w:webHidden/>
              </w:rPr>
              <w:fldChar w:fldCharType="separate"/>
            </w:r>
            <w:r>
              <w:rPr>
                <w:noProof/>
                <w:webHidden/>
              </w:rPr>
              <w:t>12</w:t>
            </w:r>
            <w:r>
              <w:rPr>
                <w:noProof/>
                <w:webHidden/>
              </w:rPr>
              <w:fldChar w:fldCharType="end"/>
            </w:r>
          </w:hyperlink>
        </w:p>
        <w:p w14:paraId="22574F49" w14:textId="77777777" w:rsidR="00C94CD4" w:rsidRDefault="00C94CD4" w:rsidP="00C94CD4">
          <w:pPr>
            <w:pStyle w:val="TOC3"/>
            <w:rPr>
              <w:rFonts w:eastAsiaTheme="minorEastAsia" w:cstheme="minorBidi"/>
              <w:noProof/>
              <w:kern w:val="2"/>
              <w:sz w:val="24"/>
              <w:szCs w:val="24"/>
              <w:lang w:val="en-150" w:eastAsia="en-150"/>
              <w14:ligatures w14:val="standardContextual"/>
            </w:rPr>
          </w:pPr>
          <w:hyperlink w:anchor="_Toc221016425" w:history="1">
            <w:r w:rsidRPr="000A0828">
              <w:rPr>
                <w:rStyle w:val="Hyperlink"/>
                <w:noProof/>
              </w:rPr>
              <w:t>2.4.1.</w:t>
            </w:r>
            <w:r>
              <w:rPr>
                <w:rFonts w:eastAsiaTheme="minorEastAsia" w:cstheme="minorBidi"/>
                <w:noProof/>
                <w:kern w:val="2"/>
                <w:sz w:val="24"/>
                <w:szCs w:val="24"/>
                <w:lang w:val="en-150" w:eastAsia="en-150"/>
                <w14:ligatures w14:val="standardContextual"/>
              </w:rPr>
              <w:tab/>
            </w:r>
            <w:r w:rsidRPr="000A0828">
              <w:rPr>
                <w:rStyle w:val="Hyperlink"/>
                <w:noProof/>
              </w:rPr>
              <w:t>Methodology</w:t>
            </w:r>
            <w:r>
              <w:rPr>
                <w:noProof/>
                <w:webHidden/>
              </w:rPr>
              <w:tab/>
            </w:r>
            <w:r>
              <w:rPr>
                <w:noProof/>
                <w:webHidden/>
              </w:rPr>
              <w:fldChar w:fldCharType="begin"/>
            </w:r>
            <w:r>
              <w:rPr>
                <w:noProof/>
                <w:webHidden/>
              </w:rPr>
              <w:instrText xml:space="preserve"> PAGEREF _Toc221016425 \h </w:instrText>
            </w:r>
            <w:r>
              <w:rPr>
                <w:noProof/>
                <w:webHidden/>
              </w:rPr>
            </w:r>
            <w:r>
              <w:rPr>
                <w:noProof/>
                <w:webHidden/>
              </w:rPr>
              <w:fldChar w:fldCharType="separate"/>
            </w:r>
            <w:r>
              <w:rPr>
                <w:noProof/>
                <w:webHidden/>
              </w:rPr>
              <w:t>12</w:t>
            </w:r>
            <w:r>
              <w:rPr>
                <w:noProof/>
                <w:webHidden/>
              </w:rPr>
              <w:fldChar w:fldCharType="end"/>
            </w:r>
          </w:hyperlink>
        </w:p>
        <w:p w14:paraId="0A8972B9" w14:textId="77777777" w:rsidR="00C94CD4" w:rsidRDefault="00C94CD4" w:rsidP="00C94CD4">
          <w:pPr>
            <w:pStyle w:val="TOC3"/>
            <w:rPr>
              <w:rFonts w:eastAsiaTheme="minorEastAsia" w:cstheme="minorBidi"/>
              <w:noProof/>
              <w:kern w:val="2"/>
              <w:sz w:val="24"/>
              <w:szCs w:val="24"/>
              <w:lang w:val="en-150" w:eastAsia="en-150"/>
              <w14:ligatures w14:val="standardContextual"/>
            </w:rPr>
          </w:pPr>
          <w:hyperlink w:anchor="_Toc221016426" w:history="1">
            <w:r w:rsidRPr="000A0828">
              <w:rPr>
                <w:rStyle w:val="Hyperlink"/>
                <w:noProof/>
              </w:rPr>
              <w:t>2.4.2.</w:t>
            </w:r>
            <w:r>
              <w:rPr>
                <w:rFonts w:eastAsiaTheme="minorEastAsia" w:cstheme="minorBidi"/>
                <w:noProof/>
                <w:kern w:val="2"/>
                <w:sz w:val="24"/>
                <w:szCs w:val="24"/>
                <w:lang w:val="en-150" w:eastAsia="en-150"/>
                <w14:ligatures w14:val="standardContextual"/>
              </w:rPr>
              <w:tab/>
            </w:r>
            <w:r w:rsidRPr="000A0828">
              <w:rPr>
                <w:rStyle w:val="Hyperlink"/>
                <w:noProof/>
              </w:rPr>
              <w:t>Results</w:t>
            </w:r>
            <w:r>
              <w:rPr>
                <w:noProof/>
                <w:webHidden/>
              </w:rPr>
              <w:tab/>
            </w:r>
            <w:r>
              <w:rPr>
                <w:noProof/>
                <w:webHidden/>
              </w:rPr>
              <w:fldChar w:fldCharType="begin"/>
            </w:r>
            <w:r>
              <w:rPr>
                <w:noProof/>
                <w:webHidden/>
              </w:rPr>
              <w:instrText xml:space="preserve"> PAGEREF _Toc221016426 \h </w:instrText>
            </w:r>
            <w:r>
              <w:rPr>
                <w:noProof/>
                <w:webHidden/>
              </w:rPr>
            </w:r>
            <w:r>
              <w:rPr>
                <w:noProof/>
                <w:webHidden/>
              </w:rPr>
              <w:fldChar w:fldCharType="separate"/>
            </w:r>
            <w:r>
              <w:rPr>
                <w:noProof/>
                <w:webHidden/>
              </w:rPr>
              <w:t>12</w:t>
            </w:r>
            <w:r>
              <w:rPr>
                <w:noProof/>
                <w:webHidden/>
              </w:rPr>
              <w:fldChar w:fldCharType="end"/>
            </w:r>
          </w:hyperlink>
        </w:p>
        <w:p w14:paraId="5602D675" w14:textId="77777777" w:rsidR="00C94CD4" w:rsidRDefault="00C94CD4" w:rsidP="00C94CD4">
          <w:pPr>
            <w:pStyle w:val="TOC3"/>
            <w:rPr>
              <w:rFonts w:eastAsiaTheme="minorEastAsia" w:cstheme="minorBidi"/>
              <w:noProof/>
              <w:kern w:val="2"/>
              <w:sz w:val="24"/>
              <w:szCs w:val="24"/>
              <w:lang w:val="en-150" w:eastAsia="en-150"/>
              <w14:ligatures w14:val="standardContextual"/>
            </w:rPr>
          </w:pPr>
          <w:hyperlink w:anchor="_Toc221016427" w:history="1">
            <w:r w:rsidRPr="000A0828">
              <w:rPr>
                <w:rStyle w:val="Hyperlink"/>
                <w:noProof/>
              </w:rPr>
              <w:t>2.4.3.</w:t>
            </w:r>
            <w:r>
              <w:rPr>
                <w:rFonts w:eastAsiaTheme="minorEastAsia" w:cstheme="minorBidi"/>
                <w:noProof/>
                <w:kern w:val="2"/>
                <w:sz w:val="24"/>
                <w:szCs w:val="24"/>
                <w:lang w:val="en-150" w:eastAsia="en-150"/>
                <w14:ligatures w14:val="standardContextual"/>
              </w:rPr>
              <w:tab/>
            </w:r>
            <w:r w:rsidRPr="000A0828">
              <w:rPr>
                <w:rStyle w:val="Hyperlink"/>
                <w:noProof/>
              </w:rPr>
              <w:t>Exports of goods analysis</w:t>
            </w:r>
            <w:r>
              <w:rPr>
                <w:noProof/>
                <w:webHidden/>
              </w:rPr>
              <w:tab/>
            </w:r>
            <w:r>
              <w:rPr>
                <w:noProof/>
                <w:webHidden/>
              </w:rPr>
              <w:fldChar w:fldCharType="begin"/>
            </w:r>
            <w:r>
              <w:rPr>
                <w:noProof/>
                <w:webHidden/>
              </w:rPr>
              <w:instrText xml:space="preserve"> PAGEREF _Toc221016427 \h </w:instrText>
            </w:r>
            <w:r>
              <w:rPr>
                <w:noProof/>
                <w:webHidden/>
              </w:rPr>
            </w:r>
            <w:r>
              <w:rPr>
                <w:noProof/>
                <w:webHidden/>
              </w:rPr>
              <w:fldChar w:fldCharType="separate"/>
            </w:r>
            <w:r>
              <w:rPr>
                <w:noProof/>
                <w:webHidden/>
              </w:rPr>
              <w:t>13</w:t>
            </w:r>
            <w:r>
              <w:rPr>
                <w:noProof/>
                <w:webHidden/>
              </w:rPr>
              <w:fldChar w:fldCharType="end"/>
            </w:r>
          </w:hyperlink>
        </w:p>
        <w:p w14:paraId="45EA29A2" w14:textId="77777777" w:rsidR="00C94CD4" w:rsidRDefault="00C94CD4" w:rsidP="00C94CD4">
          <w:pPr>
            <w:pStyle w:val="TOC2"/>
            <w:rPr>
              <w:rFonts w:eastAsiaTheme="minorEastAsia" w:cstheme="minorBidi"/>
              <w:noProof/>
              <w:kern w:val="2"/>
              <w:sz w:val="24"/>
              <w:szCs w:val="24"/>
              <w:lang w:val="en-150" w:eastAsia="en-150"/>
              <w14:ligatures w14:val="standardContextual"/>
            </w:rPr>
          </w:pPr>
          <w:hyperlink w:anchor="_Toc221016428" w:history="1">
            <w:r w:rsidRPr="000A0828">
              <w:rPr>
                <w:rStyle w:val="Hyperlink"/>
                <w:noProof/>
              </w:rPr>
              <w:t>2.5.</w:t>
            </w:r>
            <w:r>
              <w:rPr>
                <w:rFonts w:eastAsiaTheme="minorEastAsia" w:cstheme="minorBidi"/>
                <w:noProof/>
                <w:kern w:val="2"/>
                <w:sz w:val="24"/>
                <w:szCs w:val="24"/>
                <w:lang w:val="en-150" w:eastAsia="en-150"/>
                <w14:ligatures w14:val="standardContextual"/>
              </w:rPr>
              <w:tab/>
            </w:r>
            <w:r w:rsidRPr="000A0828">
              <w:rPr>
                <w:rStyle w:val="Hyperlink"/>
                <w:noProof/>
                <w:lang w:val="en-IE"/>
              </w:rPr>
              <w:t>Scientific</w:t>
            </w:r>
            <w:r w:rsidRPr="000A0828">
              <w:rPr>
                <w:rStyle w:val="Hyperlink"/>
                <w:noProof/>
              </w:rPr>
              <w:t xml:space="preserve"> </w:t>
            </w:r>
            <w:r w:rsidRPr="000A0828">
              <w:rPr>
                <w:rStyle w:val="Hyperlink"/>
                <w:noProof/>
                <w:lang w:val="en-IE"/>
              </w:rPr>
              <w:t>Potential</w:t>
            </w:r>
            <w:r>
              <w:rPr>
                <w:noProof/>
                <w:webHidden/>
              </w:rPr>
              <w:tab/>
            </w:r>
            <w:r>
              <w:rPr>
                <w:noProof/>
                <w:webHidden/>
              </w:rPr>
              <w:fldChar w:fldCharType="begin"/>
            </w:r>
            <w:r>
              <w:rPr>
                <w:noProof/>
                <w:webHidden/>
              </w:rPr>
              <w:instrText xml:space="preserve"> PAGEREF _Toc221016428 \h </w:instrText>
            </w:r>
            <w:r>
              <w:rPr>
                <w:noProof/>
                <w:webHidden/>
              </w:rPr>
            </w:r>
            <w:r>
              <w:rPr>
                <w:noProof/>
                <w:webHidden/>
              </w:rPr>
              <w:fldChar w:fldCharType="separate"/>
            </w:r>
            <w:r>
              <w:rPr>
                <w:noProof/>
                <w:webHidden/>
              </w:rPr>
              <w:t>15</w:t>
            </w:r>
            <w:r>
              <w:rPr>
                <w:noProof/>
                <w:webHidden/>
              </w:rPr>
              <w:fldChar w:fldCharType="end"/>
            </w:r>
          </w:hyperlink>
        </w:p>
        <w:p w14:paraId="434C119B" w14:textId="77777777" w:rsidR="00C94CD4" w:rsidRDefault="00C94CD4" w:rsidP="00C94CD4">
          <w:pPr>
            <w:pStyle w:val="TOC3"/>
            <w:rPr>
              <w:rFonts w:eastAsiaTheme="minorEastAsia" w:cstheme="minorBidi"/>
              <w:noProof/>
              <w:kern w:val="2"/>
              <w:sz w:val="24"/>
              <w:szCs w:val="24"/>
              <w:lang w:val="en-150" w:eastAsia="en-150"/>
              <w14:ligatures w14:val="standardContextual"/>
            </w:rPr>
          </w:pPr>
          <w:hyperlink w:anchor="_Toc221016429" w:history="1">
            <w:r w:rsidRPr="000A0828">
              <w:rPr>
                <w:rStyle w:val="Hyperlink"/>
                <w:noProof/>
              </w:rPr>
              <w:t>2.5.1.</w:t>
            </w:r>
            <w:r>
              <w:rPr>
                <w:rFonts w:eastAsiaTheme="minorEastAsia" w:cstheme="minorBidi"/>
                <w:noProof/>
                <w:kern w:val="2"/>
                <w:sz w:val="24"/>
                <w:szCs w:val="24"/>
                <w:lang w:val="en-150" w:eastAsia="en-150"/>
                <w14:ligatures w14:val="standardContextual"/>
              </w:rPr>
              <w:tab/>
            </w:r>
            <w:r w:rsidRPr="000A0828">
              <w:rPr>
                <w:rStyle w:val="Hyperlink"/>
                <w:noProof/>
              </w:rPr>
              <w:t>Scientific production</w:t>
            </w:r>
            <w:r>
              <w:rPr>
                <w:noProof/>
                <w:webHidden/>
              </w:rPr>
              <w:tab/>
            </w:r>
            <w:r>
              <w:rPr>
                <w:noProof/>
                <w:webHidden/>
              </w:rPr>
              <w:fldChar w:fldCharType="begin"/>
            </w:r>
            <w:r>
              <w:rPr>
                <w:noProof/>
                <w:webHidden/>
              </w:rPr>
              <w:instrText xml:space="preserve"> PAGEREF _Toc221016429 \h </w:instrText>
            </w:r>
            <w:r>
              <w:rPr>
                <w:noProof/>
                <w:webHidden/>
              </w:rPr>
            </w:r>
            <w:r>
              <w:rPr>
                <w:noProof/>
                <w:webHidden/>
              </w:rPr>
              <w:fldChar w:fldCharType="separate"/>
            </w:r>
            <w:r>
              <w:rPr>
                <w:noProof/>
                <w:webHidden/>
              </w:rPr>
              <w:t>15</w:t>
            </w:r>
            <w:r>
              <w:rPr>
                <w:noProof/>
                <w:webHidden/>
              </w:rPr>
              <w:fldChar w:fldCharType="end"/>
            </w:r>
          </w:hyperlink>
        </w:p>
        <w:p w14:paraId="584C3469" w14:textId="77777777" w:rsidR="00C94CD4" w:rsidRDefault="00C94CD4" w:rsidP="00C94CD4">
          <w:pPr>
            <w:pStyle w:val="TOC3"/>
            <w:rPr>
              <w:rFonts w:eastAsiaTheme="minorEastAsia" w:cstheme="minorBidi"/>
              <w:noProof/>
              <w:kern w:val="2"/>
              <w:sz w:val="24"/>
              <w:szCs w:val="24"/>
              <w:lang w:val="en-150" w:eastAsia="en-150"/>
              <w14:ligatures w14:val="standardContextual"/>
            </w:rPr>
          </w:pPr>
          <w:hyperlink w:anchor="_Toc221016430" w:history="1">
            <w:r w:rsidRPr="000A0828">
              <w:rPr>
                <w:rStyle w:val="Hyperlink"/>
                <w:noProof/>
              </w:rPr>
              <w:t>2.5.2.</w:t>
            </w:r>
            <w:r>
              <w:rPr>
                <w:rFonts w:eastAsiaTheme="minorEastAsia" w:cstheme="minorBidi"/>
                <w:noProof/>
                <w:kern w:val="2"/>
                <w:sz w:val="24"/>
                <w:szCs w:val="24"/>
                <w:lang w:val="en-150" w:eastAsia="en-150"/>
                <w14:ligatures w14:val="standardContextual"/>
              </w:rPr>
              <w:tab/>
            </w:r>
            <w:r w:rsidRPr="000A0828">
              <w:rPr>
                <w:rStyle w:val="Hyperlink"/>
                <w:noProof/>
              </w:rPr>
              <w:t>Educational system</w:t>
            </w:r>
            <w:r>
              <w:rPr>
                <w:noProof/>
                <w:webHidden/>
              </w:rPr>
              <w:tab/>
            </w:r>
            <w:r>
              <w:rPr>
                <w:noProof/>
                <w:webHidden/>
              </w:rPr>
              <w:fldChar w:fldCharType="begin"/>
            </w:r>
            <w:r>
              <w:rPr>
                <w:noProof/>
                <w:webHidden/>
              </w:rPr>
              <w:instrText xml:space="preserve"> PAGEREF _Toc221016430 \h </w:instrText>
            </w:r>
            <w:r>
              <w:rPr>
                <w:noProof/>
                <w:webHidden/>
              </w:rPr>
            </w:r>
            <w:r>
              <w:rPr>
                <w:noProof/>
                <w:webHidden/>
              </w:rPr>
              <w:fldChar w:fldCharType="separate"/>
            </w:r>
            <w:r>
              <w:rPr>
                <w:noProof/>
                <w:webHidden/>
              </w:rPr>
              <w:t>18</w:t>
            </w:r>
            <w:r>
              <w:rPr>
                <w:noProof/>
                <w:webHidden/>
              </w:rPr>
              <w:fldChar w:fldCharType="end"/>
            </w:r>
          </w:hyperlink>
        </w:p>
        <w:p w14:paraId="7E837675" w14:textId="77777777" w:rsidR="00C94CD4" w:rsidRDefault="00C94CD4" w:rsidP="00C94CD4">
          <w:pPr>
            <w:pStyle w:val="TOC3"/>
            <w:rPr>
              <w:rFonts w:eastAsiaTheme="minorEastAsia" w:cstheme="minorBidi"/>
              <w:noProof/>
              <w:kern w:val="2"/>
              <w:sz w:val="24"/>
              <w:szCs w:val="24"/>
              <w:lang w:val="en-150" w:eastAsia="en-150"/>
              <w14:ligatures w14:val="standardContextual"/>
            </w:rPr>
          </w:pPr>
          <w:hyperlink w:anchor="_Toc221016431" w:history="1">
            <w:r w:rsidRPr="000A0828">
              <w:rPr>
                <w:rStyle w:val="Hyperlink"/>
                <w:noProof/>
              </w:rPr>
              <w:t>2.5.3.</w:t>
            </w:r>
            <w:r>
              <w:rPr>
                <w:rFonts w:eastAsiaTheme="minorEastAsia" w:cstheme="minorBidi"/>
                <w:noProof/>
                <w:kern w:val="2"/>
                <w:sz w:val="24"/>
                <w:szCs w:val="24"/>
                <w:lang w:val="en-150" w:eastAsia="en-150"/>
                <w14:ligatures w14:val="standardContextual"/>
              </w:rPr>
              <w:tab/>
            </w:r>
            <w:r w:rsidRPr="000A0828">
              <w:rPr>
                <w:rStyle w:val="Hyperlink"/>
                <w:noProof/>
              </w:rPr>
              <w:t>Scientific research system</w:t>
            </w:r>
            <w:r>
              <w:rPr>
                <w:noProof/>
                <w:webHidden/>
              </w:rPr>
              <w:tab/>
            </w:r>
            <w:r>
              <w:rPr>
                <w:noProof/>
                <w:webHidden/>
              </w:rPr>
              <w:fldChar w:fldCharType="begin"/>
            </w:r>
            <w:r>
              <w:rPr>
                <w:noProof/>
                <w:webHidden/>
              </w:rPr>
              <w:instrText xml:space="preserve"> PAGEREF _Toc221016431 \h </w:instrText>
            </w:r>
            <w:r>
              <w:rPr>
                <w:noProof/>
                <w:webHidden/>
              </w:rPr>
            </w:r>
            <w:r>
              <w:rPr>
                <w:noProof/>
                <w:webHidden/>
              </w:rPr>
              <w:fldChar w:fldCharType="separate"/>
            </w:r>
            <w:r>
              <w:rPr>
                <w:noProof/>
                <w:webHidden/>
              </w:rPr>
              <w:t>20</w:t>
            </w:r>
            <w:r>
              <w:rPr>
                <w:noProof/>
                <w:webHidden/>
              </w:rPr>
              <w:fldChar w:fldCharType="end"/>
            </w:r>
          </w:hyperlink>
        </w:p>
        <w:p w14:paraId="1464704D" w14:textId="77777777" w:rsidR="00C94CD4" w:rsidRDefault="00C94CD4" w:rsidP="00C94CD4">
          <w:pPr>
            <w:pStyle w:val="TOC2"/>
            <w:rPr>
              <w:rFonts w:eastAsiaTheme="minorEastAsia" w:cstheme="minorBidi"/>
              <w:noProof/>
              <w:kern w:val="2"/>
              <w:sz w:val="24"/>
              <w:szCs w:val="24"/>
              <w:lang w:val="en-150" w:eastAsia="en-150"/>
              <w14:ligatures w14:val="standardContextual"/>
            </w:rPr>
          </w:pPr>
          <w:hyperlink w:anchor="_Toc221016432" w:history="1">
            <w:r w:rsidRPr="000A0828">
              <w:rPr>
                <w:rStyle w:val="Hyperlink"/>
                <w:noProof/>
              </w:rPr>
              <w:t>2.6.</w:t>
            </w:r>
            <w:r>
              <w:rPr>
                <w:rFonts w:eastAsiaTheme="minorEastAsia" w:cstheme="minorBidi"/>
                <w:noProof/>
                <w:kern w:val="2"/>
                <w:sz w:val="24"/>
                <w:szCs w:val="24"/>
                <w:lang w:val="en-150" w:eastAsia="en-150"/>
                <w14:ligatures w14:val="standardContextual"/>
              </w:rPr>
              <w:tab/>
            </w:r>
            <w:r w:rsidRPr="000A0828">
              <w:rPr>
                <w:rStyle w:val="Hyperlink"/>
                <w:noProof/>
              </w:rPr>
              <w:t>Innovative Potential</w:t>
            </w:r>
            <w:r>
              <w:rPr>
                <w:noProof/>
                <w:webHidden/>
              </w:rPr>
              <w:tab/>
            </w:r>
            <w:r>
              <w:rPr>
                <w:noProof/>
                <w:webHidden/>
              </w:rPr>
              <w:fldChar w:fldCharType="begin"/>
            </w:r>
            <w:r>
              <w:rPr>
                <w:noProof/>
                <w:webHidden/>
              </w:rPr>
              <w:instrText xml:space="preserve"> PAGEREF _Toc221016432 \h </w:instrText>
            </w:r>
            <w:r>
              <w:rPr>
                <w:noProof/>
                <w:webHidden/>
              </w:rPr>
            </w:r>
            <w:r>
              <w:rPr>
                <w:noProof/>
                <w:webHidden/>
              </w:rPr>
              <w:fldChar w:fldCharType="separate"/>
            </w:r>
            <w:r>
              <w:rPr>
                <w:noProof/>
                <w:webHidden/>
              </w:rPr>
              <w:t>22</w:t>
            </w:r>
            <w:r>
              <w:rPr>
                <w:noProof/>
                <w:webHidden/>
              </w:rPr>
              <w:fldChar w:fldCharType="end"/>
            </w:r>
          </w:hyperlink>
        </w:p>
        <w:p w14:paraId="6C34EEF2" w14:textId="77777777" w:rsidR="00C94CD4" w:rsidRDefault="00C94CD4" w:rsidP="00C94CD4">
          <w:pPr>
            <w:pStyle w:val="TOC3"/>
            <w:rPr>
              <w:rFonts w:eastAsiaTheme="minorEastAsia" w:cstheme="minorBidi"/>
              <w:noProof/>
              <w:kern w:val="2"/>
              <w:sz w:val="24"/>
              <w:szCs w:val="24"/>
              <w:lang w:val="en-150" w:eastAsia="en-150"/>
              <w14:ligatures w14:val="standardContextual"/>
            </w:rPr>
          </w:pPr>
          <w:hyperlink w:anchor="_Toc221016433" w:history="1">
            <w:r w:rsidRPr="000A0828">
              <w:rPr>
                <w:rStyle w:val="Hyperlink"/>
                <w:noProof/>
              </w:rPr>
              <w:t>2.6.1.</w:t>
            </w:r>
            <w:r>
              <w:rPr>
                <w:rFonts w:eastAsiaTheme="minorEastAsia" w:cstheme="minorBidi"/>
                <w:noProof/>
                <w:kern w:val="2"/>
                <w:sz w:val="24"/>
                <w:szCs w:val="24"/>
                <w:lang w:val="en-150" w:eastAsia="en-150"/>
                <w14:ligatures w14:val="standardContextual"/>
              </w:rPr>
              <w:tab/>
            </w:r>
            <w:r w:rsidRPr="000A0828">
              <w:rPr>
                <w:rStyle w:val="Hyperlink"/>
                <w:noProof/>
              </w:rPr>
              <w:t>Innovation outlook: comparison with Western Balkans countries</w:t>
            </w:r>
            <w:r>
              <w:rPr>
                <w:noProof/>
                <w:webHidden/>
              </w:rPr>
              <w:tab/>
            </w:r>
            <w:r>
              <w:rPr>
                <w:noProof/>
                <w:webHidden/>
              </w:rPr>
              <w:fldChar w:fldCharType="begin"/>
            </w:r>
            <w:r>
              <w:rPr>
                <w:noProof/>
                <w:webHidden/>
              </w:rPr>
              <w:instrText xml:space="preserve"> PAGEREF _Toc221016433 \h </w:instrText>
            </w:r>
            <w:r>
              <w:rPr>
                <w:noProof/>
                <w:webHidden/>
              </w:rPr>
            </w:r>
            <w:r>
              <w:rPr>
                <w:noProof/>
                <w:webHidden/>
              </w:rPr>
              <w:fldChar w:fldCharType="separate"/>
            </w:r>
            <w:r>
              <w:rPr>
                <w:noProof/>
                <w:webHidden/>
              </w:rPr>
              <w:t>23</w:t>
            </w:r>
            <w:r>
              <w:rPr>
                <w:noProof/>
                <w:webHidden/>
              </w:rPr>
              <w:fldChar w:fldCharType="end"/>
            </w:r>
          </w:hyperlink>
        </w:p>
        <w:p w14:paraId="45BFA3DD" w14:textId="77777777" w:rsidR="00C94CD4" w:rsidRDefault="00C94CD4" w:rsidP="00C94CD4">
          <w:pPr>
            <w:pStyle w:val="TOC3"/>
            <w:rPr>
              <w:rFonts w:eastAsiaTheme="minorEastAsia" w:cstheme="minorBidi"/>
              <w:noProof/>
              <w:kern w:val="2"/>
              <w:sz w:val="24"/>
              <w:szCs w:val="24"/>
              <w:lang w:val="en-150" w:eastAsia="en-150"/>
              <w14:ligatures w14:val="standardContextual"/>
            </w:rPr>
          </w:pPr>
          <w:hyperlink w:anchor="_Toc221016434" w:history="1">
            <w:r w:rsidRPr="000A0828">
              <w:rPr>
                <w:rStyle w:val="Hyperlink"/>
                <w:noProof/>
              </w:rPr>
              <w:t>2.6.2.</w:t>
            </w:r>
            <w:r>
              <w:rPr>
                <w:rFonts w:eastAsiaTheme="minorEastAsia" w:cstheme="minorBidi"/>
                <w:noProof/>
                <w:kern w:val="2"/>
                <w:sz w:val="24"/>
                <w:szCs w:val="24"/>
                <w:lang w:val="en-150" w:eastAsia="en-150"/>
                <w14:ligatures w14:val="standardContextual"/>
              </w:rPr>
              <w:tab/>
            </w:r>
            <w:r w:rsidRPr="000A0828">
              <w:rPr>
                <w:rStyle w:val="Hyperlink"/>
                <w:noProof/>
              </w:rPr>
              <w:t>Production of Innovation – Intellectual Property</w:t>
            </w:r>
            <w:r>
              <w:rPr>
                <w:noProof/>
                <w:webHidden/>
              </w:rPr>
              <w:tab/>
            </w:r>
            <w:r>
              <w:rPr>
                <w:noProof/>
                <w:webHidden/>
              </w:rPr>
              <w:fldChar w:fldCharType="begin"/>
            </w:r>
            <w:r>
              <w:rPr>
                <w:noProof/>
                <w:webHidden/>
              </w:rPr>
              <w:instrText xml:space="preserve"> PAGEREF _Toc221016434 \h </w:instrText>
            </w:r>
            <w:r>
              <w:rPr>
                <w:noProof/>
                <w:webHidden/>
              </w:rPr>
            </w:r>
            <w:r>
              <w:rPr>
                <w:noProof/>
                <w:webHidden/>
              </w:rPr>
              <w:fldChar w:fldCharType="separate"/>
            </w:r>
            <w:r>
              <w:rPr>
                <w:noProof/>
                <w:webHidden/>
              </w:rPr>
              <w:t>25</w:t>
            </w:r>
            <w:r>
              <w:rPr>
                <w:noProof/>
                <w:webHidden/>
              </w:rPr>
              <w:fldChar w:fldCharType="end"/>
            </w:r>
          </w:hyperlink>
        </w:p>
        <w:p w14:paraId="63FE2921" w14:textId="77777777" w:rsidR="00C94CD4" w:rsidRDefault="00C94CD4" w:rsidP="00C94CD4">
          <w:pPr>
            <w:pStyle w:val="TOC3"/>
            <w:rPr>
              <w:rFonts w:eastAsiaTheme="minorEastAsia" w:cstheme="minorBidi"/>
              <w:noProof/>
              <w:kern w:val="2"/>
              <w:sz w:val="24"/>
              <w:szCs w:val="24"/>
              <w:lang w:val="en-150" w:eastAsia="en-150"/>
              <w14:ligatures w14:val="standardContextual"/>
            </w:rPr>
          </w:pPr>
          <w:hyperlink w:anchor="_Toc221016435" w:history="1">
            <w:r w:rsidRPr="000A0828">
              <w:rPr>
                <w:rStyle w:val="Hyperlink"/>
                <w:noProof/>
              </w:rPr>
              <w:t>2.6.3.</w:t>
            </w:r>
            <w:r>
              <w:rPr>
                <w:rFonts w:eastAsiaTheme="minorEastAsia" w:cstheme="minorBidi"/>
                <w:noProof/>
                <w:kern w:val="2"/>
                <w:sz w:val="24"/>
                <w:szCs w:val="24"/>
                <w:lang w:val="en-150" w:eastAsia="en-150"/>
                <w14:ligatures w14:val="standardContextual"/>
              </w:rPr>
              <w:tab/>
            </w:r>
            <w:r w:rsidRPr="000A0828">
              <w:rPr>
                <w:rStyle w:val="Hyperlink"/>
                <w:noProof/>
              </w:rPr>
              <w:t>Digitalisation</w:t>
            </w:r>
            <w:r>
              <w:rPr>
                <w:noProof/>
                <w:webHidden/>
              </w:rPr>
              <w:tab/>
            </w:r>
            <w:r>
              <w:rPr>
                <w:noProof/>
                <w:webHidden/>
              </w:rPr>
              <w:fldChar w:fldCharType="begin"/>
            </w:r>
            <w:r>
              <w:rPr>
                <w:noProof/>
                <w:webHidden/>
              </w:rPr>
              <w:instrText xml:space="preserve"> PAGEREF _Toc221016435 \h </w:instrText>
            </w:r>
            <w:r>
              <w:rPr>
                <w:noProof/>
                <w:webHidden/>
              </w:rPr>
            </w:r>
            <w:r>
              <w:rPr>
                <w:noProof/>
                <w:webHidden/>
              </w:rPr>
              <w:fldChar w:fldCharType="separate"/>
            </w:r>
            <w:r>
              <w:rPr>
                <w:noProof/>
                <w:webHidden/>
              </w:rPr>
              <w:t>27</w:t>
            </w:r>
            <w:r>
              <w:rPr>
                <w:noProof/>
                <w:webHidden/>
              </w:rPr>
              <w:fldChar w:fldCharType="end"/>
            </w:r>
          </w:hyperlink>
        </w:p>
        <w:p w14:paraId="287CBAA5" w14:textId="77777777" w:rsidR="00C94CD4" w:rsidRDefault="00C94CD4" w:rsidP="00C94CD4">
          <w:pPr>
            <w:pStyle w:val="TOC3"/>
            <w:rPr>
              <w:rFonts w:eastAsiaTheme="minorEastAsia" w:cstheme="minorBidi"/>
              <w:noProof/>
              <w:kern w:val="2"/>
              <w:sz w:val="24"/>
              <w:szCs w:val="24"/>
              <w:lang w:val="en-150" w:eastAsia="en-150"/>
              <w14:ligatures w14:val="standardContextual"/>
            </w:rPr>
          </w:pPr>
          <w:hyperlink w:anchor="_Toc221016436" w:history="1">
            <w:r w:rsidRPr="000A0828">
              <w:rPr>
                <w:rStyle w:val="Hyperlink"/>
                <w:noProof/>
              </w:rPr>
              <w:t>2.6.4.</w:t>
            </w:r>
            <w:r>
              <w:rPr>
                <w:rFonts w:eastAsiaTheme="minorEastAsia" w:cstheme="minorBidi"/>
                <w:noProof/>
                <w:kern w:val="2"/>
                <w:sz w:val="24"/>
                <w:szCs w:val="24"/>
                <w:lang w:val="en-150" w:eastAsia="en-150"/>
                <w14:ligatures w14:val="standardContextual"/>
              </w:rPr>
              <w:tab/>
            </w:r>
            <w:r w:rsidRPr="000A0828">
              <w:rPr>
                <w:rStyle w:val="Hyperlink"/>
                <w:noProof/>
              </w:rPr>
              <w:t>Innovation Projects and Grants</w:t>
            </w:r>
            <w:r>
              <w:rPr>
                <w:noProof/>
                <w:webHidden/>
              </w:rPr>
              <w:tab/>
            </w:r>
            <w:r>
              <w:rPr>
                <w:noProof/>
                <w:webHidden/>
              </w:rPr>
              <w:fldChar w:fldCharType="begin"/>
            </w:r>
            <w:r>
              <w:rPr>
                <w:noProof/>
                <w:webHidden/>
              </w:rPr>
              <w:instrText xml:space="preserve"> PAGEREF _Toc221016436 \h </w:instrText>
            </w:r>
            <w:r>
              <w:rPr>
                <w:noProof/>
                <w:webHidden/>
              </w:rPr>
            </w:r>
            <w:r>
              <w:rPr>
                <w:noProof/>
                <w:webHidden/>
              </w:rPr>
              <w:fldChar w:fldCharType="separate"/>
            </w:r>
            <w:r>
              <w:rPr>
                <w:noProof/>
                <w:webHidden/>
              </w:rPr>
              <w:t>29</w:t>
            </w:r>
            <w:r>
              <w:rPr>
                <w:noProof/>
                <w:webHidden/>
              </w:rPr>
              <w:fldChar w:fldCharType="end"/>
            </w:r>
          </w:hyperlink>
        </w:p>
        <w:p w14:paraId="541115BF" w14:textId="77777777" w:rsidR="00C94CD4" w:rsidRDefault="00C94CD4" w:rsidP="00C94CD4">
          <w:pPr>
            <w:pStyle w:val="TOC3"/>
            <w:rPr>
              <w:rFonts w:eastAsiaTheme="minorEastAsia" w:cstheme="minorBidi"/>
              <w:noProof/>
              <w:kern w:val="2"/>
              <w:sz w:val="24"/>
              <w:szCs w:val="24"/>
              <w:lang w:val="en-150" w:eastAsia="en-150"/>
              <w14:ligatures w14:val="standardContextual"/>
            </w:rPr>
          </w:pPr>
          <w:hyperlink w:anchor="_Toc221016437" w:history="1">
            <w:r w:rsidRPr="000A0828">
              <w:rPr>
                <w:rStyle w:val="Hyperlink"/>
                <w:noProof/>
              </w:rPr>
              <w:t>2.6.5.</w:t>
            </w:r>
            <w:r>
              <w:rPr>
                <w:rFonts w:eastAsiaTheme="minorEastAsia" w:cstheme="minorBidi"/>
                <w:noProof/>
                <w:kern w:val="2"/>
                <w:sz w:val="24"/>
                <w:szCs w:val="24"/>
                <w:lang w:val="en-150" w:eastAsia="en-150"/>
                <w14:ligatures w14:val="standardContextual"/>
              </w:rPr>
              <w:tab/>
            </w:r>
            <w:r w:rsidRPr="000A0828">
              <w:rPr>
                <w:rStyle w:val="Hyperlink"/>
                <w:noProof/>
              </w:rPr>
              <w:t>Innovation Projects financed by Ministry of Education, Science and Innovation</w:t>
            </w:r>
            <w:r>
              <w:rPr>
                <w:noProof/>
                <w:webHidden/>
              </w:rPr>
              <w:tab/>
            </w:r>
            <w:r>
              <w:rPr>
                <w:noProof/>
                <w:webHidden/>
              </w:rPr>
              <w:fldChar w:fldCharType="begin"/>
            </w:r>
            <w:r>
              <w:rPr>
                <w:noProof/>
                <w:webHidden/>
              </w:rPr>
              <w:instrText xml:space="preserve"> PAGEREF _Toc221016437 \h </w:instrText>
            </w:r>
            <w:r>
              <w:rPr>
                <w:noProof/>
                <w:webHidden/>
              </w:rPr>
            </w:r>
            <w:r>
              <w:rPr>
                <w:noProof/>
                <w:webHidden/>
              </w:rPr>
              <w:fldChar w:fldCharType="separate"/>
            </w:r>
            <w:r>
              <w:rPr>
                <w:noProof/>
                <w:webHidden/>
              </w:rPr>
              <w:t>30</w:t>
            </w:r>
            <w:r>
              <w:rPr>
                <w:noProof/>
                <w:webHidden/>
              </w:rPr>
              <w:fldChar w:fldCharType="end"/>
            </w:r>
          </w:hyperlink>
        </w:p>
        <w:p w14:paraId="2E7C1701" w14:textId="77777777" w:rsidR="00C94CD4" w:rsidRDefault="00C94CD4" w:rsidP="00C94CD4">
          <w:pPr>
            <w:pStyle w:val="TOC3"/>
            <w:rPr>
              <w:rFonts w:eastAsiaTheme="minorEastAsia" w:cstheme="minorBidi"/>
              <w:noProof/>
              <w:kern w:val="2"/>
              <w:sz w:val="24"/>
              <w:szCs w:val="24"/>
              <w:lang w:val="en-150" w:eastAsia="en-150"/>
              <w14:ligatures w14:val="standardContextual"/>
            </w:rPr>
          </w:pPr>
          <w:hyperlink w:anchor="_Toc221016438" w:history="1">
            <w:r w:rsidRPr="000A0828">
              <w:rPr>
                <w:rStyle w:val="Hyperlink"/>
                <w:noProof/>
              </w:rPr>
              <w:t>2.6.6.</w:t>
            </w:r>
            <w:r>
              <w:rPr>
                <w:rFonts w:eastAsiaTheme="minorEastAsia" w:cstheme="minorBidi"/>
                <w:noProof/>
                <w:kern w:val="2"/>
                <w:sz w:val="24"/>
                <w:szCs w:val="24"/>
                <w:lang w:val="en-150" w:eastAsia="en-150"/>
                <w14:ligatures w14:val="standardContextual"/>
              </w:rPr>
              <w:tab/>
            </w:r>
            <w:r w:rsidRPr="000A0828">
              <w:rPr>
                <w:rStyle w:val="Hyperlink"/>
                <w:noProof/>
              </w:rPr>
              <w:t>Innovation Grants financed by Innovation Fund of Montenegro</w:t>
            </w:r>
            <w:r>
              <w:rPr>
                <w:noProof/>
                <w:webHidden/>
              </w:rPr>
              <w:tab/>
            </w:r>
            <w:r>
              <w:rPr>
                <w:noProof/>
                <w:webHidden/>
              </w:rPr>
              <w:fldChar w:fldCharType="begin"/>
            </w:r>
            <w:r>
              <w:rPr>
                <w:noProof/>
                <w:webHidden/>
              </w:rPr>
              <w:instrText xml:space="preserve"> PAGEREF _Toc221016438 \h </w:instrText>
            </w:r>
            <w:r>
              <w:rPr>
                <w:noProof/>
                <w:webHidden/>
              </w:rPr>
            </w:r>
            <w:r>
              <w:rPr>
                <w:noProof/>
                <w:webHidden/>
              </w:rPr>
              <w:fldChar w:fldCharType="separate"/>
            </w:r>
            <w:r>
              <w:rPr>
                <w:noProof/>
                <w:webHidden/>
              </w:rPr>
              <w:t>31</w:t>
            </w:r>
            <w:r>
              <w:rPr>
                <w:noProof/>
                <w:webHidden/>
              </w:rPr>
              <w:fldChar w:fldCharType="end"/>
            </w:r>
          </w:hyperlink>
        </w:p>
        <w:p w14:paraId="698B5A4D" w14:textId="77777777" w:rsidR="00C94CD4" w:rsidRDefault="00C94CD4" w:rsidP="00C94CD4">
          <w:pPr>
            <w:pStyle w:val="TOC1"/>
            <w:rPr>
              <w:rFonts w:eastAsiaTheme="minorEastAsia" w:cstheme="minorBidi"/>
              <w:noProof/>
              <w:kern w:val="2"/>
              <w:sz w:val="24"/>
              <w:szCs w:val="24"/>
              <w:lang w:val="en-150" w:eastAsia="en-150"/>
              <w14:ligatures w14:val="standardContextual"/>
            </w:rPr>
          </w:pPr>
          <w:hyperlink w:anchor="_Toc221016439" w:history="1">
            <w:r w:rsidRPr="000A0828">
              <w:rPr>
                <w:rStyle w:val="Hyperlink"/>
                <w:b/>
                <w:bCs/>
                <w:noProof/>
              </w:rPr>
              <w:t>3.</w:t>
            </w:r>
            <w:r>
              <w:rPr>
                <w:rFonts w:eastAsiaTheme="minorEastAsia" w:cstheme="minorBidi"/>
                <w:noProof/>
                <w:kern w:val="2"/>
                <w:sz w:val="24"/>
                <w:szCs w:val="24"/>
                <w:lang w:val="en-150" w:eastAsia="en-150"/>
                <w14:ligatures w14:val="standardContextual"/>
              </w:rPr>
              <w:tab/>
            </w:r>
            <w:r w:rsidRPr="000A0828">
              <w:rPr>
                <w:rStyle w:val="Hyperlink"/>
                <w:b/>
                <w:bCs/>
                <w:noProof/>
              </w:rPr>
              <w:t>Main results from quantitative mapping</w:t>
            </w:r>
            <w:r>
              <w:rPr>
                <w:noProof/>
                <w:webHidden/>
              </w:rPr>
              <w:tab/>
            </w:r>
            <w:r>
              <w:rPr>
                <w:noProof/>
                <w:webHidden/>
              </w:rPr>
              <w:fldChar w:fldCharType="begin"/>
            </w:r>
            <w:r>
              <w:rPr>
                <w:noProof/>
                <w:webHidden/>
              </w:rPr>
              <w:instrText xml:space="preserve"> PAGEREF _Toc221016439 \h </w:instrText>
            </w:r>
            <w:r>
              <w:rPr>
                <w:noProof/>
                <w:webHidden/>
              </w:rPr>
            </w:r>
            <w:r>
              <w:rPr>
                <w:noProof/>
                <w:webHidden/>
              </w:rPr>
              <w:fldChar w:fldCharType="separate"/>
            </w:r>
            <w:r>
              <w:rPr>
                <w:noProof/>
                <w:webHidden/>
              </w:rPr>
              <w:t>36</w:t>
            </w:r>
            <w:r>
              <w:rPr>
                <w:noProof/>
                <w:webHidden/>
              </w:rPr>
              <w:fldChar w:fldCharType="end"/>
            </w:r>
          </w:hyperlink>
        </w:p>
        <w:p w14:paraId="22142D1E" w14:textId="77777777" w:rsidR="00C94CD4" w:rsidRDefault="00C94CD4" w:rsidP="00C94CD4">
          <w:pPr>
            <w:pStyle w:val="TOC1"/>
            <w:rPr>
              <w:rFonts w:eastAsiaTheme="minorEastAsia" w:cstheme="minorBidi"/>
              <w:noProof/>
              <w:kern w:val="2"/>
              <w:sz w:val="24"/>
              <w:szCs w:val="24"/>
              <w:lang w:val="en-150" w:eastAsia="en-150"/>
              <w14:ligatures w14:val="standardContextual"/>
            </w:rPr>
          </w:pPr>
          <w:hyperlink w:anchor="_Toc221016440" w:history="1">
            <w:r w:rsidRPr="000A0828">
              <w:rPr>
                <w:rStyle w:val="Hyperlink"/>
                <w:b/>
                <w:bCs/>
                <w:noProof/>
              </w:rPr>
              <w:t>References</w:t>
            </w:r>
            <w:r>
              <w:rPr>
                <w:noProof/>
                <w:webHidden/>
              </w:rPr>
              <w:tab/>
            </w:r>
            <w:r>
              <w:rPr>
                <w:noProof/>
                <w:webHidden/>
              </w:rPr>
              <w:fldChar w:fldCharType="begin"/>
            </w:r>
            <w:r>
              <w:rPr>
                <w:noProof/>
                <w:webHidden/>
              </w:rPr>
              <w:instrText xml:space="preserve"> PAGEREF _Toc221016440 \h </w:instrText>
            </w:r>
            <w:r>
              <w:rPr>
                <w:noProof/>
                <w:webHidden/>
              </w:rPr>
            </w:r>
            <w:r>
              <w:rPr>
                <w:noProof/>
                <w:webHidden/>
              </w:rPr>
              <w:fldChar w:fldCharType="separate"/>
            </w:r>
            <w:r>
              <w:rPr>
                <w:noProof/>
                <w:webHidden/>
              </w:rPr>
              <w:t>39</w:t>
            </w:r>
            <w:r>
              <w:rPr>
                <w:noProof/>
                <w:webHidden/>
              </w:rPr>
              <w:fldChar w:fldCharType="end"/>
            </w:r>
          </w:hyperlink>
        </w:p>
        <w:p w14:paraId="7B139603" w14:textId="77777777" w:rsidR="00C94CD4" w:rsidRDefault="00C94CD4" w:rsidP="00C94CD4">
          <w:pPr>
            <w:pStyle w:val="TOC1"/>
            <w:rPr>
              <w:rFonts w:eastAsiaTheme="minorEastAsia" w:cstheme="minorBidi"/>
              <w:noProof/>
              <w:kern w:val="2"/>
              <w:sz w:val="24"/>
              <w:szCs w:val="24"/>
              <w:lang w:val="en-150" w:eastAsia="en-150"/>
              <w14:ligatures w14:val="standardContextual"/>
            </w:rPr>
          </w:pPr>
          <w:hyperlink w:anchor="_Toc221016441" w:history="1">
            <w:r w:rsidRPr="000A0828">
              <w:rPr>
                <w:rStyle w:val="Hyperlink"/>
                <w:b/>
                <w:bCs/>
                <w:noProof/>
              </w:rPr>
              <w:t>List of abbreviations and definitions</w:t>
            </w:r>
            <w:r>
              <w:rPr>
                <w:noProof/>
                <w:webHidden/>
              </w:rPr>
              <w:tab/>
            </w:r>
            <w:r>
              <w:rPr>
                <w:noProof/>
                <w:webHidden/>
              </w:rPr>
              <w:fldChar w:fldCharType="begin"/>
            </w:r>
            <w:r>
              <w:rPr>
                <w:noProof/>
                <w:webHidden/>
              </w:rPr>
              <w:instrText xml:space="preserve"> PAGEREF _Toc221016441 \h </w:instrText>
            </w:r>
            <w:r>
              <w:rPr>
                <w:noProof/>
                <w:webHidden/>
              </w:rPr>
            </w:r>
            <w:r>
              <w:rPr>
                <w:noProof/>
                <w:webHidden/>
              </w:rPr>
              <w:fldChar w:fldCharType="separate"/>
            </w:r>
            <w:r>
              <w:rPr>
                <w:noProof/>
                <w:webHidden/>
              </w:rPr>
              <w:t>40</w:t>
            </w:r>
            <w:r>
              <w:rPr>
                <w:noProof/>
                <w:webHidden/>
              </w:rPr>
              <w:fldChar w:fldCharType="end"/>
            </w:r>
          </w:hyperlink>
        </w:p>
        <w:p w14:paraId="396EE12F" w14:textId="77777777" w:rsidR="00C94CD4" w:rsidRDefault="00C94CD4" w:rsidP="00C94CD4">
          <w:pPr>
            <w:pStyle w:val="TOC1"/>
            <w:rPr>
              <w:rFonts w:eastAsiaTheme="minorEastAsia" w:cstheme="minorBidi"/>
              <w:noProof/>
              <w:kern w:val="2"/>
              <w:sz w:val="24"/>
              <w:szCs w:val="24"/>
              <w:lang w:val="en-150" w:eastAsia="en-150"/>
              <w14:ligatures w14:val="standardContextual"/>
            </w:rPr>
          </w:pPr>
          <w:hyperlink w:anchor="_Toc221016442" w:history="1">
            <w:r w:rsidRPr="000A0828">
              <w:rPr>
                <w:rStyle w:val="Hyperlink"/>
                <w:b/>
                <w:bCs/>
                <w:noProof/>
              </w:rPr>
              <w:t>List of figures</w:t>
            </w:r>
            <w:r>
              <w:rPr>
                <w:noProof/>
                <w:webHidden/>
              </w:rPr>
              <w:tab/>
            </w:r>
            <w:r>
              <w:rPr>
                <w:noProof/>
                <w:webHidden/>
              </w:rPr>
              <w:fldChar w:fldCharType="begin"/>
            </w:r>
            <w:r>
              <w:rPr>
                <w:noProof/>
                <w:webHidden/>
              </w:rPr>
              <w:instrText xml:space="preserve"> PAGEREF _Toc221016442 \h </w:instrText>
            </w:r>
            <w:r>
              <w:rPr>
                <w:noProof/>
                <w:webHidden/>
              </w:rPr>
            </w:r>
            <w:r>
              <w:rPr>
                <w:noProof/>
                <w:webHidden/>
              </w:rPr>
              <w:fldChar w:fldCharType="separate"/>
            </w:r>
            <w:r>
              <w:rPr>
                <w:noProof/>
                <w:webHidden/>
              </w:rPr>
              <w:t>41</w:t>
            </w:r>
            <w:r>
              <w:rPr>
                <w:noProof/>
                <w:webHidden/>
              </w:rPr>
              <w:fldChar w:fldCharType="end"/>
            </w:r>
          </w:hyperlink>
        </w:p>
        <w:p w14:paraId="6DC197B8" w14:textId="77777777" w:rsidR="00C94CD4" w:rsidRDefault="00C94CD4" w:rsidP="00C94CD4">
          <w:pPr>
            <w:pStyle w:val="TOC1"/>
            <w:rPr>
              <w:rFonts w:eastAsiaTheme="minorEastAsia" w:cstheme="minorBidi"/>
              <w:noProof/>
              <w:kern w:val="2"/>
              <w:sz w:val="24"/>
              <w:szCs w:val="24"/>
              <w:lang w:val="en-150" w:eastAsia="en-150"/>
              <w14:ligatures w14:val="standardContextual"/>
            </w:rPr>
          </w:pPr>
          <w:hyperlink w:anchor="_Toc221016443" w:history="1">
            <w:r w:rsidRPr="000A0828">
              <w:rPr>
                <w:rStyle w:val="Hyperlink"/>
                <w:b/>
                <w:bCs/>
                <w:noProof/>
              </w:rPr>
              <w:t>List of tables</w:t>
            </w:r>
            <w:r>
              <w:rPr>
                <w:noProof/>
                <w:webHidden/>
              </w:rPr>
              <w:tab/>
            </w:r>
            <w:r>
              <w:rPr>
                <w:noProof/>
                <w:webHidden/>
              </w:rPr>
              <w:fldChar w:fldCharType="begin"/>
            </w:r>
            <w:r>
              <w:rPr>
                <w:noProof/>
                <w:webHidden/>
              </w:rPr>
              <w:instrText xml:space="preserve"> PAGEREF _Toc221016443 \h </w:instrText>
            </w:r>
            <w:r>
              <w:rPr>
                <w:noProof/>
                <w:webHidden/>
              </w:rPr>
            </w:r>
            <w:r>
              <w:rPr>
                <w:noProof/>
                <w:webHidden/>
              </w:rPr>
              <w:fldChar w:fldCharType="separate"/>
            </w:r>
            <w:r>
              <w:rPr>
                <w:noProof/>
                <w:webHidden/>
              </w:rPr>
              <w:t>42</w:t>
            </w:r>
            <w:r>
              <w:rPr>
                <w:noProof/>
                <w:webHidden/>
              </w:rPr>
              <w:fldChar w:fldCharType="end"/>
            </w:r>
          </w:hyperlink>
        </w:p>
        <w:p w14:paraId="36E67145" w14:textId="77777777" w:rsidR="00C94CD4" w:rsidRDefault="00C94CD4" w:rsidP="00C94CD4">
          <w:r>
            <w:rPr>
              <w:b/>
              <w:bCs/>
              <w:noProof/>
            </w:rPr>
            <w:fldChar w:fldCharType="end"/>
          </w:r>
        </w:p>
      </w:sdtContent>
    </w:sdt>
    <w:p w14:paraId="7A618D9D" w14:textId="77777777" w:rsidR="00867127" w:rsidRPr="00E47079" w:rsidRDefault="00867127" w:rsidP="00867127">
      <w:pPr>
        <w:spacing w:line="276" w:lineRule="auto"/>
      </w:pPr>
    </w:p>
    <w:p w14:paraId="0BF307FD" w14:textId="77777777" w:rsidR="00C94CD4" w:rsidRPr="00BA1E77" w:rsidRDefault="00C94CD4" w:rsidP="00C94CD4">
      <w:pPr>
        <w:pStyle w:val="JRCLevel-1title"/>
        <w:numPr>
          <w:ilvl w:val="0"/>
          <w:numId w:val="0"/>
        </w:numPr>
        <w:rPr>
          <w:b/>
          <w:bCs/>
        </w:rPr>
      </w:pPr>
      <w:r w:rsidRPr="00BA1E77">
        <w:rPr>
          <w:b/>
          <w:bCs/>
        </w:rPr>
        <w:lastRenderedPageBreak/>
        <w:t>Abstract</w:t>
      </w:r>
    </w:p>
    <w:p w14:paraId="05861D9A" w14:textId="184A1322" w:rsidR="00C94CD4" w:rsidRPr="00E47079" w:rsidRDefault="00C94CD4" w:rsidP="00C94CD4">
      <w:pPr>
        <w:spacing w:line="276" w:lineRule="auto"/>
      </w:pPr>
      <w:r w:rsidRPr="00E47079">
        <w:t>The mapping exercise presented in this report provides evidence-based information that serves as a foundation for identifying and defining the priority areas of Montenegro's Smart Specialisation Strategy. This report includes a quantitative analysis of Montenegro's economic, scientific, and innovative potential, using various national and international data sources.</w:t>
      </w:r>
    </w:p>
    <w:p w14:paraId="052A4DC4" w14:textId="77777777" w:rsidR="00C94CD4" w:rsidRPr="00E47079" w:rsidRDefault="00C94CD4" w:rsidP="00C94CD4">
      <w:pPr>
        <w:spacing w:line="276" w:lineRule="auto"/>
      </w:pPr>
      <w:r w:rsidRPr="00E47079">
        <w:t>The analysis has identified potential overlaps in five sectors, including Construction, Energy, Food, ICT, and Tourism. However, it has also highlighted challenges related to data availability. As the quantitative analysis will need to be supplemented and validated by subsequent qualitative assessments, these will delve deeper into the perspectives and positioning of market actors. This thorough approach will aid in identifying promising areas that could emerge as priorities for Montenegro’s Smart Specialisation Strategy.</w:t>
      </w:r>
    </w:p>
    <w:p w14:paraId="0CDC042D" w14:textId="77777777" w:rsidR="00867127" w:rsidRDefault="00867127" w:rsidP="00C30033">
      <w:pPr>
        <w:sectPr w:rsidR="00867127" w:rsidSect="00C30033">
          <w:headerReference w:type="default" r:id="rId8"/>
          <w:pgSz w:w="11906" w:h="16838"/>
          <w:pgMar w:top="1417" w:right="1134" w:bottom="1134" w:left="1134" w:header="708" w:footer="708" w:gutter="0"/>
          <w:cols w:space="708"/>
          <w:docGrid w:linePitch="360"/>
        </w:sectPr>
      </w:pPr>
    </w:p>
    <w:p w14:paraId="66D7848F" w14:textId="77777777" w:rsidR="00867127" w:rsidRPr="00BA1E77" w:rsidRDefault="00867127" w:rsidP="00867127">
      <w:pPr>
        <w:pStyle w:val="JRCLevel-1title"/>
        <w:rPr>
          <w:b/>
          <w:bCs/>
        </w:rPr>
      </w:pPr>
      <w:bookmarkStart w:id="3" w:name="_Toc184834299"/>
      <w:bookmarkStart w:id="4" w:name="_Toc221016419"/>
      <w:r w:rsidRPr="00BA1E77">
        <w:rPr>
          <w:b/>
          <w:bCs/>
        </w:rPr>
        <w:lastRenderedPageBreak/>
        <w:t>Introduction</w:t>
      </w:r>
      <w:bookmarkEnd w:id="3"/>
      <w:bookmarkEnd w:id="4"/>
    </w:p>
    <w:p w14:paraId="142D3295" w14:textId="77777777" w:rsidR="00C94CD4" w:rsidRPr="00C94CD4" w:rsidRDefault="00C94CD4" w:rsidP="00C94CD4">
      <w:pPr>
        <w:pStyle w:val="JRCText"/>
        <w:spacing w:line="276" w:lineRule="auto"/>
        <w:rPr>
          <w:lang w:val="en-150"/>
        </w:rPr>
      </w:pPr>
      <w:r w:rsidRPr="00C94CD4">
        <w:rPr>
          <w:lang w:val="en-150"/>
        </w:rPr>
        <w:t>This report aims to help identify key areas for a Smart Specialisation Strategy (S3) in Montenegro by presenting and analysing quantitative evidence. The S3 is developed in line with recommendations from the Joint Research Centre (JRC) and the S3 Framework for the EU Enlargement and Neighbourhood region. In simple terms, quantitative mapping exercises are essential for understanding a country’s strengths and development potential, as well as how its regions can grow. This understanding is crucial for designing effective, evidence-based policies.</w:t>
      </w:r>
    </w:p>
    <w:p w14:paraId="24FA2877" w14:textId="77777777" w:rsidR="00C94CD4" w:rsidRPr="00C94CD4" w:rsidRDefault="00C94CD4" w:rsidP="00C94CD4">
      <w:pPr>
        <w:pStyle w:val="JRCText"/>
        <w:spacing w:line="276" w:lineRule="auto"/>
        <w:rPr>
          <w:lang w:val="en-150"/>
        </w:rPr>
      </w:pPr>
      <w:r w:rsidRPr="00C94CD4">
        <w:rPr>
          <w:lang w:val="en-150"/>
        </w:rPr>
        <w:t>The report begins with an overview of Montenegro’s economy, followed by an in-depth analysis of the country’s economic, scientific, and innovative strengths.</w:t>
      </w:r>
    </w:p>
    <w:p w14:paraId="2BEF28C2" w14:textId="77777777" w:rsidR="00C94CD4" w:rsidRPr="00C94CD4" w:rsidRDefault="00C94CD4" w:rsidP="00C94CD4">
      <w:pPr>
        <w:pStyle w:val="JRCText"/>
        <w:spacing w:line="276" w:lineRule="auto"/>
        <w:rPr>
          <w:lang w:val="en-150"/>
        </w:rPr>
      </w:pPr>
      <w:r w:rsidRPr="00C94CD4">
        <w:rPr>
          <w:lang w:val="en-150"/>
        </w:rPr>
        <w:t>First, the report assesses Montenegro’s economic potential by analysing employment data to identify sectors in which the country is specialised compared with EU Member States. Only sectors demonstrating a strong relative presence are included in this assessment. In addition, other economic indicators are examined, including business creation, turnover, and Montenegro’s leading export products.</w:t>
      </w:r>
    </w:p>
    <w:p w14:paraId="10FB77EA" w14:textId="77777777" w:rsidR="00C94CD4" w:rsidRPr="00C94CD4" w:rsidRDefault="00C94CD4" w:rsidP="00C94CD4">
      <w:pPr>
        <w:pStyle w:val="JRCText"/>
        <w:spacing w:line="276" w:lineRule="auto"/>
        <w:rPr>
          <w:lang w:val="en-150"/>
        </w:rPr>
      </w:pPr>
      <w:r w:rsidRPr="00C94CD4">
        <w:rPr>
          <w:lang w:val="en-150"/>
        </w:rPr>
        <w:t>Next, the report explores Montenegro’s scientific potential. This section focuses on research publications and citation data from scholars and institutions based in Montenegro between 2010 and 2023. It identifies the most productive scientific fields and compares Montenegro’s performance with that of other Western Balkan countries, highlighting areas in which the country demonstrates relative strengths. This analysis is complemented by education-related indicators, such as the number of graduates and participation in scientific programmes and European research projects.</w:t>
      </w:r>
    </w:p>
    <w:p w14:paraId="1A3412E5" w14:textId="77777777" w:rsidR="00C94CD4" w:rsidRPr="00C94CD4" w:rsidRDefault="00C94CD4" w:rsidP="00C94CD4">
      <w:pPr>
        <w:pStyle w:val="JRCText"/>
        <w:spacing w:line="276" w:lineRule="auto"/>
        <w:rPr>
          <w:lang w:val="en-150"/>
        </w:rPr>
      </w:pPr>
      <w:r w:rsidRPr="00C94CD4">
        <w:rPr>
          <w:lang w:val="en-150"/>
        </w:rPr>
        <w:t>Finally, the report examines Montenegro’s innovative potential across four dimensions. First, Montenegro’s innovation performance is analysed in comparison with other Balkan countries using data from the Global Innovation Index, which covers innovation outcomes, research and development (R&amp;D), collaboration, and technological capabilities. Second, intellectual property data from international databases are assessed. Third, the level of business digitalisation is analysed using website-based indicators. Lastly, statistics on innovation projects funded by the Ministry of Education, Science and Innovation and the Innovation Fund of Montenegro are reviewed and classified by beneficiary type, sector of activity, S3 priority area, and geographic location.</w:t>
      </w:r>
    </w:p>
    <w:p w14:paraId="5AC58839" w14:textId="77777777" w:rsidR="00C94CD4" w:rsidRPr="00C94CD4" w:rsidRDefault="00C94CD4" w:rsidP="00C94CD4">
      <w:pPr>
        <w:pStyle w:val="JRCText"/>
        <w:spacing w:line="276" w:lineRule="auto"/>
        <w:rPr>
          <w:lang w:val="en-150"/>
        </w:rPr>
      </w:pPr>
      <w:r w:rsidRPr="00C94CD4">
        <w:rPr>
          <w:lang w:val="en-150"/>
        </w:rPr>
        <w:t>A key challenge encountered during the analysis was data availability and comparability. Different datasets are collected using different methodologies, which complicates cross-domain comparisons. For example, economic data are organised by industry sectors, whereas scientific data are classified by research fields. Despite these limitations, the analysis identified five sectors in which economic, scientific, and innovative potential converge: Construction, Energy, Food, ICT, and Tourism.</w:t>
      </w:r>
    </w:p>
    <w:p w14:paraId="6707D2EA" w14:textId="77777777" w:rsidR="00C94CD4" w:rsidRPr="00C94CD4" w:rsidRDefault="00C94CD4" w:rsidP="00C94CD4">
      <w:pPr>
        <w:pStyle w:val="JRCText"/>
        <w:spacing w:line="276" w:lineRule="auto"/>
        <w:rPr>
          <w:lang w:val="en-150"/>
        </w:rPr>
      </w:pPr>
      <w:r w:rsidRPr="00C94CD4">
        <w:rPr>
          <w:lang w:val="en-150"/>
        </w:rPr>
        <w:t>The preparation of this report was made possible by the strong commitment of Montenegro’s S3 team, who provided essential data for the analysis. While the report relies primarily on quantitative evidence to depict Montenegro’s current economic, scientific, and innovative landscape, a comprehensive understanding of the country also requires qualitative analysis. This involves deeper engagement with market actors and an assessment of their perspectives and positioning. Combining quantitative and qualitative approaches will support the identification of the most promising priority areas for Montenegro’s S3.</w:t>
      </w:r>
    </w:p>
    <w:p w14:paraId="681F3699" w14:textId="5AC6C859" w:rsidR="00867127" w:rsidRPr="00C94CD4" w:rsidRDefault="00C94CD4" w:rsidP="00867127">
      <w:pPr>
        <w:pStyle w:val="JRCText"/>
        <w:spacing w:line="276" w:lineRule="auto"/>
        <w:rPr>
          <w:lang w:val="en-150"/>
        </w:rPr>
      </w:pPr>
      <w:r w:rsidRPr="00C94CD4">
        <w:rPr>
          <w:lang w:val="en-150"/>
        </w:rPr>
        <w:lastRenderedPageBreak/>
        <w:t>The report is structured as follows. Chapter 2 presents an economic overview of Montenegro, including key economic indicators, regional disparities, and recent trends in entrepreneurship. This chapter also contains the quantitative analysis of the three dimensions examined: economic, scientific, and innovative potential. Chapter 3 concludes the report with a summary of the main findings and final recommendations.</w:t>
      </w:r>
      <w:r w:rsidR="00867127" w:rsidRPr="00E47079">
        <w:t xml:space="preserve"> </w:t>
      </w:r>
    </w:p>
    <w:p w14:paraId="4014F074" w14:textId="77777777" w:rsidR="00867127" w:rsidRDefault="00867127" w:rsidP="00C30033">
      <w:pPr>
        <w:sectPr w:rsidR="00867127" w:rsidSect="00C30033">
          <w:pgSz w:w="11906" w:h="16838"/>
          <w:pgMar w:top="1417" w:right="1134" w:bottom="1134" w:left="1134" w:header="708" w:footer="708" w:gutter="0"/>
          <w:cols w:space="708"/>
          <w:docGrid w:linePitch="360"/>
        </w:sectPr>
      </w:pPr>
    </w:p>
    <w:p w14:paraId="34A40AB5" w14:textId="77777777" w:rsidR="00BA1E77" w:rsidRPr="00BA1E77" w:rsidRDefault="00BA1E77" w:rsidP="00BA1E77">
      <w:pPr>
        <w:pStyle w:val="JRCLevel-1title"/>
        <w:rPr>
          <w:b/>
          <w:bCs/>
        </w:rPr>
      </w:pPr>
      <w:bookmarkStart w:id="5" w:name="_Toc221016420"/>
      <w:r w:rsidRPr="00BA1E77">
        <w:rPr>
          <w:b/>
          <w:bCs/>
        </w:rPr>
        <w:lastRenderedPageBreak/>
        <w:t>Quantitative mapping</w:t>
      </w:r>
      <w:bookmarkEnd w:id="5"/>
      <w:r w:rsidRPr="00BA1E77">
        <w:rPr>
          <w:b/>
          <w:bCs/>
        </w:rPr>
        <w:t xml:space="preserve"> </w:t>
      </w:r>
    </w:p>
    <w:p w14:paraId="143B8C63" w14:textId="77777777" w:rsidR="00BA1E77" w:rsidRPr="00713C04" w:rsidRDefault="00BA1E77" w:rsidP="00BA1E77">
      <w:pPr>
        <w:pStyle w:val="JRCLevel-2title"/>
      </w:pPr>
      <w:bookmarkStart w:id="6" w:name="_Toc221016421"/>
      <w:r w:rsidRPr="00713C04">
        <w:t>Economic context</w:t>
      </w:r>
      <w:bookmarkEnd w:id="6"/>
      <w:r w:rsidRPr="00713C04">
        <w:t xml:space="preserve"> </w:t>
      </w:r>
    </w:p>
    <w:p w14:paraId="4B856225" w14:textId="77777777" w:rsidR="00BA1E77" w:rsidRPr="00DB00D1" w:rsidRDefault="00BA1E77" w:rsidP="00BA1E77">
      <w:pPr>
        <w:pStyle w:val="JRCText"/>
      </w:pPr>
      <w:r w:rsidRPr="00DB00D1">
        <w:t>Montenegro</w:t>
      </w:r>
      <w:r>
        <w:t>’</w:t>
      </w:r>
      <w:r w:rsidRPr="00DB00D1">
        <w:t>s economy is a small, open, middle-income transition economy characterized by its high reliance on the services sector, a commitment to European integration, and the use of the euro as its</w:t>
      </w:r>
      <w:r>
        <w:rPr>
          <w:rFonts w:ascii="Calibri" w:hAnsi="Calibri" w:cs="Calibri"/>
        </w:rPr>
        <w:t> </w:t>
      </w:r>
      <w:r w:rsidRPr="00DB00D1">
        <w:t xml:space="preserve">currency. Based on annual data, Gross Domestic Product (GDP) in Montenegro was estimated at </w:t>
      </w:r>
      <w:r>
        <w:rPr>
          <w:color w:val="000000"/>
        </w:rPr>
        <w:t xml:space="preserve">EUR </w:t>
      </w:r>
      <w:r w:rsidRPr="00DB00D1">
        <w:t>6.96</w:t>
      </w:r>
      <w:r>
        <w:rPr>
          <w:rFonts w:ascii="Calibri" w:hAnsi="Calibri" w:cs="Calibri"/>
        </w:rPr>
        <w:t> </w:t>
      </w:r>
      <w:r w:rsidRPr="00DB00D1">
        <w:t xml:space="preserve">billion in 2023, representing an increase of approximately </w:t>
      </w:r>
      <w:r>
        <w:rPr>
          <w:color w:val="000000"/>
        </w:rPr>
        <w:t xml:space="preserve">EUR </w:t>
      </w:r>
      <w:r w:rsidRPr="00DB00D1">
        <w:t>1 billion relative to 2022 (</w:t>
      </w:r>
      <w:proofErr w:type="spellStart"/>
      <w:r w:rsidRPr="00DB00D1">
        <w:t>Monstat</w:t>
      </w:r>
      <w:proofErr w:type="spellEnd"/>
      <w:r w:rsidRPr="00DB00D1">
        <w:t xml:space="preserve">, 2023). GDP per capita reached </w:t>
      </w:r>
      <w:r>
        <w:rPr>
          <w:color w:val="000000"/>
        </w:rPr>
        <w:t xml:space="preserve">EUR </w:t>
      </w:r>
      <w:r w:rsidRPr="00DB00D1">
        <w:t xml:space="preserve">10,998 in 2023, growing from </w:t>
      </w:r>
      <w:r>
        <w:rPr>
          <w:color w:val="000000"/>
        </w:rPr>
        <w:t xml:space="preserve">EUR </w:t>
      </w:r>
      <w:r w:rsidRPr="00DB00D1">
        <w:t>9,598 in 2022 (</w:t>
      </w:r>
      <w:proofErr w:type="spellStart"/>
      <w:r w:rsidRPr="00DB00D1">
        <w:t>Monstat</w:t>
      </w:r>
      <w:proofErr w:type="spellEnd"/>
      <w:r w:rsidRPr="00DB00D1">
        <w:t>, 2023). The</w:t>
      </w:r>
      <w:r>
        <w:rPr>
          <w:rFonts w:ascii="Calibri" w:hAnsi="Calibri" w:cs="Calibri"/>
        </w:rPr>
        <w:t> </w:t>
      </w:r>
      <w:r w:rsidRPr="00DB00D1">
        <w:t>Montenegrin economy is predominantly service-based, accounting for 61.5% of its GDP. Industry and</w:t>
      </w:r>
      <w:r>
        <w:rPr>
          <w:rFonts w:ascii="Calibri" w:hAnsi="Calibri" w:cs="Calibri"/>
        </w:rPr>
        <w:t> </w:t>
      </w:r>
      <w:r w:rsidRPr="00DB00D1">
        <w:t>agriculture contribute 13% and 6% to GDP, respectively (World Bank, 2024). A review of GDP values at</w:t>
      </w:r>
      <w:r>
        <w:rPr>
          <w:rFonts w:ascii="Calibri" w:hAnsi="Calibri" w:cs="Calibri"/>
        </w:rPr>
        <w:t> </w:t>
      </w:r>
      <w:r w:rsidRPr="00DB00D1">
        <w:t>current prices over the last decade reveals substantial growth, with the 2023 value almost doubling that</w:t>
      </w:r>
      <w:r>
        <w:rPr>
          <w:rFonts w:ascii="Calibri" w:hAnsi="Calibri" w:cs="Calibri"/>
        </w:rPr>
        <w:t> </w:t>
      </w:r>
      <w:r w:rsidRPr="00DB00D1">
        <w:t>of 2014.</w:t>
      </w:r>
    </w:p>
    <w:p w14:paraId="5712F769" w14:textId="77777777" w:rsidR="00BA1E77" w:rsidRDefault="00BA1E77" w:rsidP="00BA1E77">
      <w:pPr>
        <w:pStyle w:val="JRCTabletitle"/>
      </w:pPr>
      <w:bookmarkStart w:id="7" w:name="_Toc220938953"/>
      <w:bookmarkStart w:id="8" w:name="_Toc221271663"/>
      <w:r w:rsidRPr="00736593">
        <w:rPr>
          <w:b/>
          <w:bCs/>
        </w:rPr>
        <w:t xml:space="preserve">Table </w:t>
      </w:r>
      <w:r w:rsidRPr="00736593">
        <w:rPr>
          <w:b/>
          <w:bCs/>
        </w:rPr>
        <w:fldChar w:fldCharType="begin"/>
      </w:r>
      <w:r w:rsidRPr="00736593">
        <w:rPr>
          <w:b/>
          <w:bCs/>
        </w:rPr>
        <w:instrText xml:space="preserve"> SEQ Table \* ARABIC </w:instrText>
      </w:r>
      <w:r w:rsidRPr="00736593">
        <w:rPr>
          <w:b/>
          <w:bCs/>
        </w:rPr>
        <w:fldChar w:fldCharType="separate"/>
      </w:r>
      <w:r>
        <w:rPr>
          <w:b/>
          <w:bCs/>
          <w:noProof/>
        </w:rPr>
        <w:t>1</w:t>
      </w:r>
      <w:r w:rsidRPr="00736593">
        <w:rPr>
          <w:b/>
          <w:bCs/>
        </w:rPr>
        <w:fldChar w:fldCharType="end"/>
      </w:r>
      <w:r w:rsidRPr="00736593">
        <w:rPr>
          <w:b/>
          <w:bCs/>
        </w:rPr>
        <w:t>.</w:t>
      </w:r>
      <w:r w:rsidRPr="00736593">
        <w:t xml:space="preserve"> </w:t>
      </w:r>
      <w:r w:rsidRPr="008B1CCB">
        <w:t>Gross domestic product at current prices</w:t>
      </w:r>
      <w:r>
        <w:t xml:space="preserve"> </w:t>
      </w:r>
      <w:r>
        <w:rPr>
          <w:color w:val="000000"/>
        </w:rPr>
        <w:t>EUR</w:t>
      </w:r>
      <w:r w:rsidRPr="008B1CCB">
        <w:t xml:space="preserve"> billion (2014-2023)</w:t>
      </w:r>
      <w:bookmarkEnd w:id="7"/>
      <w:bookmarkEnd w:id="8"/>
      <w:r w:rsidRPr="00736593">
        <w:t xml:space="preserve"> </w:t>
      </w:r>
    </w:p>
    <w:tbl>
      <w:tblPr>
        <w:tblStyle w:val="JRCTableBasic"/>
        <w:tblW w:w="4977" w:type="pct"/>
        <w:tblLook w:val="04A0" w:firstRow="1" w:lastRow="0" w:firstColumn="1" w:lastColumn="0" w:noHBand="0" w:noVBand="1"/>
      </w:tblPr>
      <w:tblGrid>
        <w:gridCol w:w="1311"/>
        <w:gridCol w:w="827"/>
        <w:gridCol w:w="827"/>
        <w:gridCol w:w="827"/>
        <w:gridCol w:w="827"/>
        <w:gridCol w:w="827"/>
        <w:gridCol w:w="827"/>
        <w:gridCol w:w="827"/>
        <w:gridCol w:w="828"/>
        <w:gridCol w:w="828"/>
        <w:gridCol w:w="828"/>
      </w:tblGrid>
      <w:tr w:rsidR="00BA1E77" w:rsidRPr="00DB00D1" w14:paraId="6F1DFE0B" w14:textId="77777777" w:rsidTr="00C70998">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80" w:type="pct"/>
            <w:noWrap/>
            <w:hideMark/>
          </w:tcPr>
          <w:p w14:paraId="0DAA6C69" w14:textId="77777777" w:rsidR="00BA1E77" w:rsidRPr="00E605CF" w:rsidRDefault="00BA1E77" w:rsidP="00C70998">
            <w:pPr>
              <w:pStyle w:val="JRCTableBoxtitle"/>
              <w:jc w:val="left"/>
              <w:rPr>
                <w:b/>
                <w:bCs/>
              </w:rPr>
            </w:pPr>
          </w:p>
        </w:tc>
        <w:tc>
          <w:tcPr>
            <w:tcW w:w="432" w:type="pct"/>
            <w:noWrap/>
            <w:hideMark/>
          </w:tcPr>
          <w:p w14:paraId="5E0DB5E2" w14:textId="77777777" w:rsidR="00BA1E77" w:rsidRPr="00E605CF" w:rsidRDefault="00BA1E77" w:rsidP="00C70998">
            <w:pPr>
              <w:pStyle w:val="JRCTableBoxtitle"/>
              <w:jc w:val="left"/>
              <w:cnfStyle w:val="100000000000" w:firstRow="1" w:lastRow="0" w:firstColumn="0" w:lastColumn="0" w:oddVBand="0" w:evenVBand="0" w:oddHBand="0" w:evenHBand="0" w:firstRowFirstColumn="0" w:firstRowLastColumn="0" w:lastRowFirstColumn="0" w:lastRowLastColumn="0"/>
              <w:rPr>
                <w:b/>
                <w:bCs/>
              </w:rPr>
            </w:pPr>
            <w:r w:rsidRPr="00E605CF">
              <w:rPr>
                <w:b/>
                <w:bCs/>
              </w:rPr>
              <w:t>2014</w:t>
            </w:r>
          </w:p>
        </w:tc>
        <w:tc>
          <w:tcPr>
            <w:tcW w:w="432" w:type="pct"/>
            <w:noWrap/>
            <w:hideMark/>
          </w:tcPr>
          <w:p w14:paraId="4F0792B7" w14:textId="77777777" w:rsidR="00BA1E77" w:rsidRPr="00E605CF" w:rsidRDefault="00BA1E77" w:rsidP="00C70998">
            <w:pPr>
              <w:pStyle w:val="JRCTableBoxtitle"/>
              <w:jc w:val="left"/>
              <w:cnfStyle w:val="100000000000" w:firstRow="1" w:lastRow="0" w:firstColumn="0" w:lastColumn="0" w:oddVBand="0" w:evenVBand="0" w:oddHBand="0" w:evenHBand="0" w:firstRowFirstColumn="0" w:firstRowLastColumn="0" w:lastRowFirstColumn="0" w:lastRowLastColumn="0"/>
              <w:rPr>
                <w:b/>
                <w:bCs/>
              </w:rPr>
            </w:pPr>
            <w:r w:rsidRPr="00E605CF">
              <w:rPr>
                <w:b/>
                <w:bCs/>
              </w:rPr>
              <w:t>2015</w:t>
            </w:r>
          </w:p>
        </w:tc>
        <w:tc>
          <w:tcPr>
            <w:tcW w:w="432" w:type="pct"/>
            <w:noWrap/>
            <w:hideMark/>
          </w:tcPr>
          <w:p w14:paraId="70945ABB" w14:textId="77777777" w:rsidR="00BA1E77" w:rsidRPr="00E605CF" w:rsidRDefault="00BA1E77" w:rsidP="00C70998">
            <w:pPr>
              <w:pStyle w:val="JRCTableBoxtitle"/>
              <w:jc w:val="left"/>
              <w:cnfStyle w:val="100000000000" w:firstRow="1" w:lastRow="0" w:firstColumn="0" w:lastColumn="0" w:oddVBand="0" w:evenVBand="0" w:oddHBand="0" w:evenHBand="0" w:firstRowFirstColumn="0" w:firstRowLastColumn="0" w:lastRowFirstColumn="0" w:lastRowLastColumn="0"/>
              <w:rPr>
                <w:b/>
                <w:bCs/>
              </w:rPr>
            </w:pPr>
            <w:r w:rsidRPr="00E605CF">
              <w:rPr>
                <w:b/>
                <w:bCs/>
              </w:rPr>
              <w:t>2016</w:t>
            </w:r>
          </w:p>
        </w:tc>
        <w:tc>
          <w:tcPr>
            <w:tcW w:w="432" w:type="pct"/>
            <w:noWrap/>
            <w:hideMark/>
          </w:tcPr>
          <w:p w14:paraId="0669B97D" w14:textId="77777777" w:rsidR="00BA1E77" w:rsidRPr="00E605CF" w:rsidRDefault="00BA1E77" w:rsidP="00C70998">
            <w:pPr>
              <w:pStyle w:val="JRCTableBoxtitle"/>
              <w:jc w:val="left"/>
              <w:cnfStyle w:val="100000000000" w:firstRow="1" w:lastRow="0" w:firstColumn="0" w:lastColumn="0" w:oddVBand="0" w:evenVBand="0" w:oddHBand="0" w:evenHBand="0" w:firstRowFirstColumn="0" w:firstRowLastColumn="0" w:lastRowFirstColumn="0" w:lastRowLastColumn="0"/>
              <w:rPr>
                <w:b/>
                <w:bCs/>
              </w:rPr>
            </w:pPr>
            <w:r w:rsidRPr="00E605CF">
              <w:rPr>
                <w:b/>
                <w:bCs/>
              </w:rPr>
              <w:t>2017</w:t>
            </w:r>
          </w:p>
        </w:tc>
        <w:tc>
          <w:tcPr>
            <w:tcW w:w="432" w:type="pct"/>
            <w:noWrap/>
            <w:hideMark/>
          </w:tcPr>
          <w:p w14:paraId="20FDA623" w14:textId="77777777" w:rsidR="00BA1E77" w:rsidRPr="00E605CF" w:rsidRDefault="00BA1E77" w:rsidP="00C70998">
            <w:pPr>
              <w:pStyle w:val="JRCTableBoxtitle"/>
              <w:jc w:val="left"/>
              <w:cnfStyle w:val="100000000000" w:firstRow="1" w:lastRow="0" w:firstColumn="0" w:lastColumn="0" w:oddVBand="0" w:evenVBand="0" w:oddHBand="0" w:evenHBand="0" w:firstRowFirstColumn="0" w:firstRowLastColumn="0" w:lastRowFirstColumn="0" w:lastRowLastColumn="0"/>
              <w:rPr>
                <w:b/>
                <w:bCs/>
              </w:rPr>
            </w:pPr>
            <w:r w:rsidRPr="00E605CF">
              <w:rPr>
                <w:b/>
                <w:bCs/>
              </w:rPr>
              <w:t>2018</w:t>
            </w:r>
          </w:p>
        </w:tc>
        <w:tc>
          <w:tcPr>
            <w:tcW w:w="432" w:type="pct"/>
            <w:noWrap/>
            <w:hideMark/>
          </w:tcPr>
          <w:p w14:paraId="3DDB4942" w14:textId="77777777" w:rsidR="00BA1E77" w:rsidRPr="00E605CF" w:rsidRDefault="00BA1E77" w:rsidP="00C70998">
            <w:pPr>
              <w:pStyle w:val="JRCTableBoxtitle"/>
              <w:jc w:val="left"/>
              <w:cnfStyle w:val="100000000000" w:firstRow="1" w:lastRow="0" w:firstColumn="0" w:lastColumn="0" w:oddVBand="0" w:evenVBand="0" w:oddHBand="0" w:evenHBand="0" w:firstRowFirstColumn="0" w:firstRowLastColumn="0" w:lastRowFirstColumn="0" w:lastRowLastColumn="0"/>
              <w:rPr>
                <w:b/>
                <w:bCs/>
              </w:rPr>
            </w:pPr>
            <w:r w:rsidRPr="00E605CF">
              <w:rPr>
                <w:b/>
                <w:bCs/>
              </w:rPr>
              <w:t>2019</w:t>
            </w:r>
          </w:p>
        </w:tc>
        <w:tc>
          <w:tcPr>
            <w:tcW w:w="432" w:type="pct"/>
            <w:noWrap/>
            <w:hideMark/>
          </w:tcPr>
          <w:p w14:paraId="209639D4" w14:textId="77777777" w:rsidR="00BA1E77" w:rsidRPr="00E605CF" w:rsidRDefault="00BA1E77" w:rsidP="00C70998">
            <w:pPr>
              <w:pStyle w:val="JRCTableBoxtitle"/>
              <w:jc w:val="left"/>
              <w:cnfStyle w:val="100000000000" w:firstRow="1" w:lastRow="0" w:firstColumn="0" w:lastColumn="0" w:oddVBand="0" w:evenVBand="0" w:oddHBand="0" w:evenHBand="0" w:firstRowFirstColumn="0" w:firstRowLastColumn="0" w:lastRowFirstColumn="0" w:lastRowLastColumn="0"/>
              <w:rPr>
                <w:b/>
                <w:bCs/>
              </w:rPr>
            </w:pPr>
            <w:r w:rsidRPr="00E605CF">
              <w:rPr>
                <w:b/>
                <w:bCs/>
              </w:rPr>
              <w:t>2020</w:t>
            </w:r>
          </w:p>
        </w:tc>
        <w:tc>
          <w:tcPr>
            <w:tcW w:w="432" w:type="pct"/>
            <w:noWrap/>
            <w:hideMark/>
          </w:tcPr>
          <w:p w14:paraId="3E352D1E" w14:textId="77777777" w:rsidR="00BA1E77" w:rsidRPr="00E605CF" w:rsidRDefault="00BA1E77" w:rsidP="00C70998">
            <w:pPr>
              <w:pStyle w:val="JRCTableBoxtitle"/>
              <w:jc w:val="left"/>
              <w:cnfStyle w:val="100000000000" w:firstRow="1" w:lastRow="0" w:firstColumn="0" w:lastColumn="0" w:oddVBand="0" w:evenVBand="0" w:oddHBand="0" w:evenHBand="0" w:firstRowFirstColumn="0" w:firstRowLastColumn="0" w:lastRowFirstColumn="0" w:lastRowLastColumn="0"/>
              <w:rPr>
                <w:b/>
                <w:bCs/>
              </w:rPr>
            </w:pPr>
            <w:r w:rsidRPr="00E605CF">
              <w:rPr>
                <w:b/>
                <w:bCs/>
              </w:rPr>
              <w:t>2021</w:t>
            </w:r>
          </w:p>
        </w:tc>
        <w:tc>
          <w:tcPr>
            <w:tcW w:w="432" w:type="pct"/>
            <w:noWrap/>
            <w:hideMark/>
          </w:tcPr>
          <w:p w14:paraId="1910AD18" w14:textId="77777777" w:rsidR="00BA1E77" w:rsidRPr="00E605CF" w:rsidRDefault="00BA1E77" w:rsidP="00C70998">
            <w:pPr>
              <w:pStyle w:val="JRCTableBoxtitle"/>
              <w:jc w:val="left"/>
              <w:cnfStyle w:val="100000000000" w:firstRow="1" w:lastRow="0" w:firstColumn="0" w:lastColumn="0" w:oddVBand="0" w:evenVBand="0" w:oddHBand="0" w:evenHBand="0" w:firstRowFirstColumn="0" w:firstRowLastColumn="0" w:lastRowFirstColumn="0" w:lastRowLastColumn="0"/>
              <w:rPr>
                <w:b/>
                <w:bCs/>
              </w:rPr>
            </w:pPr>
            <w:r w:rsidRPr="00E605CF">
              <w:rPr>
                <w:b/>
                <w:bCs/>
              </w:rPr>
              <w:t>2022</w:t>
            </w:r>
          </w:p>
        </w:tc>
        <w:tc>
          <w:tcPr>
            <w:tcW w:w="432" w:type="pct"/>
            <w:noWrap/>
            <w:hideMark/>
          </w:tcPr>
          <w:p w14:paraId="2FCD395A" w14:textId="77777777" w:rsidR="00BA1E77" w:rsidRPr="00E605CF" w:rsidRDefault="00BA1E77" w:rsidP="00C70998">
            <w:pPr>
              <w:pStyle w:val="JRCTableBoxtitle"/>
              <w:jc w:val="left"/>
              <w:cnfStyle w:val="100000000000" w:firstRow="1" w:lastRow="0" w:firstColumn="0" w:lastColumn="0" w:oddVBand="0" w:evenVBand="0" w:oddHBand="0" w:evenHBand="0" w:firstRowFirstColumn="0" w:firstRowLastColumn="0" w:lastRowFirstColumn="0" w:lastRowLastColumn="0"/>
              <w:rPr>
                <w:b/>
                <w:bCs/>
              </w:rPr>
            </w:pPr>
            <w:r w:rsidRPr="00E605CF">
              <w:rPr>
                <w:b/>
                <w:bCs/>
              </w:rPr>
              <w:t>2023</w:t>
            </w:r>
          </w:p>
        </w:tc>
      </w:tr>
      <w:tr w:rsidR="00BA1E77" w:rsidRPr="00DB00D1" w14:paraId="1E09CD04" w14:textId="77777777" w:rsidTr="00C70998">
        <w:trPr>
          <w:trHeight w:val="288"/>
        </w:trPr>
        <w:tc>
          <w:tcPr>
            <w:cnfStyle w:val="001000000000" w:firstRow="0" w:lastRow="0" w:firstColumn="1" w:lastColumn="0" w:oddVBand="0" w:evenVBand="0" w:oddHBand="0" w:evenHBand="0" w:firstRowFirstColumn="0" w:firstRowLastColumn="0" w:lastRowFirstColumn="0" w:lastRowLastColumn="0"/>
            <w:tcW w:w="680" w:type="pct"/>
            <w:noWrap/>
            <w:hideMark/>
          </w:tcPr>
          <w:p w14:paraId="6CA7EFB8" w14:textId="77777777" w:rsidR="00BA1E77" w:rsidRPr="00DB00D1" w:rsidRDefault="00BA1E77" w:rsidP="00C70998">
            <w:pPr>
              <w:pStyle w:val="JRCTabletext10pt"/>
              <w:rPr>
                <w:b w:val="0"/>
              </w:rPr>
            </w:pPr>
            <w:r w:rsidRPr="00DB00D1">
              <w:t>EU - 27</w:t>
            </w:r>
          </w:p>
        </w:tc>
        <w:tc>
          <w:tcPr>
            <w:tcW w:w="432" w:type="pct"/>
            <w:noWrap/>
            <w:hideMark/>
          </w:tcPr>
          <w:p w14:paraId="01A44C46" w14:textId="77777777" w:rsidR="00BA1E77" w:rsidRPr="00E74374"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E74374">
              <w:t>11</w:t>
            </w:r>
            <w:r>
              <w:t>,</w:t>
            </w:r>
            <w:r w:rsidRPr="00E74374">
              <w:t>868</w:t>
            </w:r>
          </w:p>
        </w:tc>
        <w:tc>
          <w:tcPr>
            <w:tcW w:w="432" w:type="pct"/>
            <w:noWrap/>
            <w:hideMark/>
          </w:tcPr>
          <w:p w14:paraId="170ED899" w14:textId="77777777" w:rsidR="00BA1E77" w:rsidRPr="00E74374"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E74374">
              <w:t>12</w:t>
            </w:r>
            <w:r>
              <w:t>,</w:t>
            </w:r>
            <w:r w:rsidRPr="00E74374">
              <w:t>307</w:t>
            </w:r>
          </w:p>
        </w:tc>
        <w:tc>
          <w:tcPr>
            <w:tcW w:w="432" w:type="pct"/>
            <w:noWrap/>
            <w:hideMark/>
          </w:tcPr>
          <w:p w14:paraId="2F981DC8" w14:textId="77777777" w:rsidR="00BA1E77" w:rsidRPr="00E74374"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E74374">
              <w:t>12</w:t>
            </w:r>
            <w:r>
              <w:t>,</w:t>
            </w:r>
            <w:r w:rsidRPr="00E74374">
              <w:t>640</w:t>
            </w:r>
          </w:p>
        </w:tc>
        <w:tc>
          <w:tcPr>
            <w:tcW w:w="432" w:type="pct"/>
            <w:noWrap/>
            <w:hideMark/>
          </w:tcPr>
          <w:p w14:paraId="79BB4979" w14:textId="77777777" w:rsidR="00BA1E77" w:rsidRPr="00E74374"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E74374">
              <w:t>13</w:t>
            </w:r>
            <w:r>
              <w:t>,</w:t>
            </w:r>
            <w:r w:rsidRPr="00E74374">
              <w:t>168</w:t>
            </w:r>
          </w:p>
        </w:tc>
        <w:tc>
          <w:tcPr>
            <w:tcW w:w="432" w:type="pct"/>
            <w:noWrap/>
            <w:hideMark/>
          </w:tcPr>
          <w:p w14:paraId="20FE97EA" w14:textId="77777777" w:rsidR="00BA1E77" w:rsidRPr="00E74374"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E74374">
              <w:t>13</w:t>
            </w:r>
            <w:r>
              <w:t>,</w:t>
            </w:r>
            <w:r w:rsidRPr="00E74374">
              <w:t>628</w:t>
            </w:r>
          </w:p>
        </w:tc>
        <w:tc>
          <w:tcPr>
            <w:tcW w:w="432" w:type="pct"/>
            <w:noWrap/>
            <w:hideMark/>
          </w:tcPr>
          <w:p w14:paraId="6216ABEB" w14:textId="77777777" w:rsidR="00BA1E77" w:rsidRPr="00E74374"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E74374">
              <w:t>14</w:t>
            </w:r>
            <w:r>
              <w:t>,</w:t>
            </w:r>
            <w:r w:rsidRPr="00E74374">
              <w:t>122</w:t>
            </w:r>
          </w:p>
        </w:tc>
        <w:tc>
          <w:tcPr>
            <w:tcW w:w="432" w:type="pct"/>
            <w:noWrap/>
            <w:hideMark/>
          </w:tcPr>
          <w:p w14:paraId="1ACE5441" w14:textId="77777777" w:rsidR="00BA1E77" w:rsidRPr="00E74374"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E74374">
              <w:t>13</w:t>
            </w:r>
            <w:r>
              <w:t>,</w:t>
            </w:r>
            <w:r w:rsidRPr="00E74374">
              <w:t>580</w:t>
            </w:r>
          </w:p>
        </w:tc>
        <w:tc>
          <w:tcPr>
            <w:tcW w:w="432" w:type="pct"/>
            <w:noWrap/>
            <w:hideMark/>
          </w:tcPr>
          <w:p w14:paraId="7882FB15" w14:textId="77777777" w:rsidR="00BA1E77" w:rsidRPr="00E74374"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E74374">
              <w:t>14</w:t>
            </w:r>
            <w:r>
              <w:t>,</w:t>
            </w:r>
            <w:r w:rsidRPr="00E74374">
              <w:t>794</w:t>
            </w:r>
          </w:p>
        </w:tc>
        <w:tc>
          <w:tcPr>
            <w:tcW w:w="432" w:type="pct"/>
            <w:noWrap/>
            <w:hideMark/>
          </w:tcPr>
          <w:p w14:paraId="53E73AAE" w14:textId="77777777" w:rsidR="00BA1E77" w:rsidRPr="00E74374"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E74374">
              <w:t>16</w:t>
            </w:r>
            <w:r>
              <w:t>,</w:t>
            </w:r>
            <w:r w:rsidRPr="00E74374">
              <w:t>143</w:t>
            </w:r>
          </w:p>
        </w:tc>
        <w:tc>
          <w:tcPr>
            <w:tcW w:w="432" w:type="pct"/>
            <w:noWrap/>
            <w:hideMark/>
          </w:tcPr>
          <w:p w14:paraId="68C30E55" w14:textId="77777777" w:rsidR="00BA1E77" w:rsidRPr="00E74374"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E74374">
              <w:t>17</w:t>
            </w:r>
            <w:r>
              <w:t>,</w:t>
            </w:r>
            <w:r w:rsidRPr="00E74374">
              <w:t>193</w:t>
            </w:r>
          </w:p>
        </w:tc>
      </w:tr>
      <w:tr w:rsidR="00BA1E77" w:rsidRPr="00DB00D1" w14:paraId="42D01414" w14:textId="77777777" w:rsidTr="00C70998">
        <w:trPr>
          <w:trHeight w:val="288"/>
        </w:trPr>
        <w:tc>
          <w:tcPr>
            <w:cnfStyle w:val="001000000000" w:firstRow="0" w:lastRow="0" w:firstColumn="1" w:lastColumn="0" w:oddVBand="0" w:evenVBand="0" w:oddHBand="0" w:evenHBand="0" w:firstRowFirstColumn="0" w:firstRowLastColumn="0" w:lastRowFirstColumn="0" w:lastRowLastColumn="0"/>
            <w:tcW w:w="680" w:type="pct"/>
            <w:noWrap/>
            <w:hideMark/>
          </w:tcPr>
          <w:p w14:paraId="790AC8C6" w14:textId="77777777" w:rsidR="00BA1E77" w:rsidRPr="00DB00D1" w:rsidRDefault="00BA1E77" w:rsidP="00C70998">
            <w:pPr>
              <w:pStyle w:val="JRCTabletext10pt"/>
              <w:rPr>
                <w:b w:val="0"/>
              </w:rPr>
            </w:pPr>
            <w:r w:rsidRPr="00DB00D1">
              <w:t>Montenegro</w:t>
            </w:r>
          </w:p>
        </w:tc>
        <w:tc>
          <w:tcPr>
            <w:tcW w:w="432" w:type="pct"/>
            <w:noWrap/>
            <w:hideMark/>
          </w:tcPr>
          <w:p w14:paraId="2DC54838" w14:textId="77777777" w:rsidR="00BA1E77" w:rsidRPr="00E74374"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E74374">
              <w:t>3.5</w:t>
            </w:r>
          </w:p>
        </w:tc>
        <w:tc>
          <w:tcPr>
            <w:tcW w:w="432" w:type="pct"/>
            <w:noWrap/>
            <w:hideMark/>
          </w:tcPr>
          <w:p w14:paraId="04706297" w14:textId="77777777" w:rsidR="00BA1E77" w:rsidRPr="00E74374"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E74374">
              <w:t>3.7</w:t>
            </w:r>
          </w:p>
        </w:tc>
        <w:tc>
          <w:tcPr>
            <w:tcW w:w="432" w:type="pct"/>
            <w:noWrap/>
            <w:hideMark/>
          </w:tcPr>
          <w:p w14:paraId="6682F0F4" w14:textId="77777777" w:rsidR="00BA1E77" w:rsidRPr="00E74374"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E74374">
              <w:t>3.9</w:t>
            </w:r>
          </w:p>
        </w:tc>
        <w:tc>
          <w:tcPr>
            <w:tcW w:w="432" w:type="pct"/>
            <w:noWrap/>
            <w:hideMark/>
          </w:tcPr>
          <w:p w14:paraId="4862A006" w14:textId="77777777" w:rsidR="00BA1E77" w:rsidRPr="00E74374"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E74374">
              <w:t>4.3</w:t>
            </w:r>
          </w:p>
        </w:tc>
        <w:tc>
          <w:tcPr>
            <w:tcW w:w="432" w:type="pct"/>
            <w:noWrap/>
            <w:hideMark/>
          </w:tcPr>
          <w:p w14:paraId="0AA1E8CA" w14:textId="77777777" w:rsidR="00BA1E77" w:rsidRPr="00E74374"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E74374">
              <w:t>4.7</w:t>
            </w:r>
          </w:p>
        </w:tc>
        <w:tc>
          <w:tcPr>
            <w:tcW w:w="432" w:type="pct"/>
            <w:noWrap/>
            <w:hideMark/>
          </w:tcPr>
          <w:p w14:paraId="006C425C" w14:textId="77777777" w:rsidR="00BA1E77" w:rsidRPr="00E74374"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E74374">
              <w:t>4.9</w:t>
            </w:r>
          </w:p>
        </w:tc>
        <w:tc>
          <w:tcPr>
            <w:tcW w:w="432" w:type="pct"/>
            <w:noWrap/>
            <w:hideMark/>
          </w:tcPr>
          <w:p w14:paraId="543A8702" w14:textId="77777777" w:rsidR="00BA1E77" w:rsidRPr="00E74374"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E74374">
              <w:t>4.2</w:t>
            </w:r>
          </w:p>
        </w:tc>
        <w:tc>
          <w:tcPr>
            <w:tcW w:w="432" w:type="pct"/>
            <w:noWrap/>
            <w:hideMark/>
          </w:tcPr>
          <w:p w14:paraId="645A2B6C" w14:textId="77777777" w:rsidR="00BA1E77" w:rsidRPr="00E74374"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E74374">
              <w:t>5.0</w:t>
            </w:r>
          </w:p>
        </w:tc>
        <w:tc>
          <w:tcPr>
            <w:tcW w:w="432" w:type="pct"/>
            <w:noWrap/>
            <w:hideMark/>
          </w:tcPr>
          <w:p w14:paraId="7240AF6A" w14:textId="77777777" w:rsidR="00BA1E77" w:rsidRPr="00E74374"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E74374">
              <w:t>5.9</w:t>
            </w:r>
          </w:p>
        </w:tc>
        <w:tc>
          <w:tcPr>
            <w:tcW w:w="432" w:type="pct"/>
            <w:noWrap/>
            <w:hideMark/>
          </w:tcPr>
          <w:p w14:paraId="369665E7" w14:textId="77777777" w:rsidR="00BA1E77" w:rsidRPr="00E74374"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E74374">
              <w:t>7.0</w:t>
            </w:r>
          </w:p>
        </w:tc>
      </w:tr>
    </w:tbl>
    <w:p w14:paraId="439F0FD8" w14:textId="77777777" w:rsidR="00BA1E77" w:rsidRDefault="00BA1E77" w:rsidP="00BA1E77">
      <w:pPr>
        <w:pStyle w:val="JRCTablesource"/>
      </w:pPr>
      <w:r w:rsidRPr="00BE7B90">
        <w:rPr>
          <w:b/>
          <w:bCs/>
        </w:rPr>
        <w:t>Source:</w:t>
      </w:r>
      <w:r w:rsidRPr="00F83C20">
        <w:t xml:space="preserve"> </w:t>
      </w:r>
      <w:r>
        <w:t>A</w:t>
      </w:r>
      <w:r w:rsidRPr="008B1CCB">
        <w:t>uthor’s elaboration on EUROSTAT</w:t>
      </w:r>
    </w:p>
    <w:p w14:paraId="482F9D5F" w14:textId="77777777" w:rsidR="00BA1E77" w:rsidRPr="00DB00D1" w:rsidRDefault="00BA1E77" w:rsidP="00BA1E77">
      <w:pPr>
        <w:pStyle w:val="JRCText"/>
      </w:pPr>
      <w:r w:rsidRPr="00DB00D1">
        <w:t>This is even more clearly shown in Figure 1, where the value of 2014 is used as a reference year and the GDP evolution of Montenegro compared to the EU</w:t>
      </w:r>
      <w:r>
        <w:t>-</w:t>
      </w:r>
      <w:r w:rsidRPr="00DB00D1">
        <w:t>27; in this case, it shows in EU-27 the 2023 value is 1.45 times higher with respect to 2014, while in Montenegro it is 2.01 times higher. GDP shows a sustained growth, particularly after the drop occurred in 2019-2020 due to the Covid-19 outbreak.</w:t>
      </w:r>
    </w:p>
    <w:p w14:paraId="65B51F6C" w14:textId="77777777" w:rsidR="00BA1E77" w:rsidRPr="00736593" w:rsidRDefault="00BA1E77" w:rsidP="00BA1E77">
      <w:pPr>
        <w:pStyle w:val="JRCFigurecaption"/>
      </w:pPr>
      <w:bookmarkStart w:id="9" w:name="_Toc220938997"/>
      <w:bookmarkStart w:id="10" w:name="_Toc221271680"/>
      <w:r w:rsidRPr="000E2296">
        <w:rPr>
          <w:b/>
          <w:bCs/>
        </w:rPr>
        <w:t xml:space="preserve">Figure </w:t>
      </w:r>
      <w:r w:rsidRPr="000E2296">
        <w:rPr>
          <w:b/>
          <w:bCs/>
        </w:rPr>
        <w:fldChar w:fldCharType="begin"/>
      </w:r>
      <w:r w:rsidRPr="000E2296">
        <w:rPr>
          <w:b/>
          <w:bCs/>
        </w:rPr>
        <w:instrText xml:space="preserve"> SEQ Figure \* ARABIC </w:instrText>
      </w:r>
      <w:r w:rsidRPr="000E2296">
        <w:rPr>
          <w:b/>
          <w:bCs/>
        </w:rPr>
        <w:fldChar w:fldCharType="separate"/>
      </w:r>
      <w:r>
        <w:rPr>
          <w:b/>
          <w:bCs/>
          <w:noProof/>
        </w:rPr>
        <w:t>1</w:t>
      </w:r>
      <w:r w:rsidRPr="000E2296">
        <w:rPr>
          <w:b/>
          <w:bCs/>
        </w:rPr>
        <w:fldChar w:fldCharType="end"/>
      </w:r>
      <w:r w:rsidRPr="000E2296">
        <w:rPr>
          <w:b/>
          <w:bCs/>
        </w:rPr>
        <w:t>.</w:t>
      </w:r>
      <w:r w:rsidRPr="00736593">
        <w:t xml:space="preserve"> </w:t>
      </w:r>
      <w:r w:rsidRPr="00A01BF3">
        <w:t>Evolution of Gross domestic product at current prices reference year 2014 (2014-2023)</w:t>
      </w:r>
      <w:bookmarkEnd w:id="9"/>
      <w:bookmarkEnd w:id="10"/>
    </w:p>
    <w:p w14:paraId="7083713C" w14:textId="77777777" w:rsidR="00BA1E77" w:rsidRPr="00DB00D1" w:rsidRDefault="00BA1E77" w:rsidP="00BA1E77">
      <w:pPr>
        <w:pStyle w:val="JRCText"/>
        <w:spacing w:line="276" w:lineRule="auto"/>
        <w:rPr>
          <w:noProof/>
        </w:rPr>
      </w:pPr>
      <w:r w:rsidRPr="00DB00D1">
        <w:rPr>
          <w:noProof/>
        </w:rPr>
        <w:drawing>
          <wp:inline distT="0" distB="0" distL="0" distR="0" wp14:anchorId="2CFB4D6A" wp14:editId="3FD5AFCD">
            <wp:extent cx="6120000" cy="2520000"/>
            <wp:effectExtent l="0" t="0" r="14605" b="7620"/>
            <wp:docPr id="23564343" name="Grafico 1">
              <a:extLst xmlns:a="http://schemas.openxmlformats.org/drawingml/2006/main">
                <a:ext uri="{FF2B5EF4-FFF2-40B4-BE49-F238E27FC236}">
                  <a16:creationId xmlns:a16="http://schemas.microsoft.com/office/drawing/2014/main" id="{E03518C7-C316-72D1-9C32-CBBFC628E2A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7D9C066D" w14:textId="77777777" w:rsidR="00BA1E77" w:rsidRPr="00F83C20" w:rsidRDefault="00BA1E77" w:rsidP="00BA1E77">
      <w:pPr>
        <w:pStyle w:val="JRCFiguresource"/>
        <w:rPr>
          <w:iCs/>
        </w:rPr>
      </w:pPr>
      <w:r w:rsidRPr="00E30BC2">
        <w:rPr>
          <w:b/>
          <w:bCs/>
        </w:rPr>
        <w:t>Source:</w:t>
      </w:r>
      <w:r w:rsidRPr="00F83C20">
        <w:t xml:space="preserve"> </w:t>
      </w:r>
      <w:r>
        <w:t>A</w:t>
      </w:r>
      <w:r w:rsidRPr="00A01BF3">
        <w:t>uthor</w:t>
      </w:r>
      <w:r>
        <w:t>s</w:t>
      </w:r>
      <w:r w:rsidRPr="00A01BF3">
        <w:t>’ elaboration on EUROSTAT</w:t>
      </w:r>
    </w:p>
    <w:p w14:paraId="65AF78B5" w14:textId="77777777" w:rsidR="00BA1E77" w:rsidRDefault="00BA1E77" w:rsidP="00BA1E77">
      <w:pPr>
        <w:pStyle w:val="JRCText"/>
        <w:spacing w:line="276" w:lineRule="auto"/>
      </w:pPr>
      <w:r w:rsidRPr="00DB00D1">
        <w:t xml:space="preserve">Figure 2 illustrates the GDP composition of Montenegro, highlighting that Wholesale and Retail Trade accounts for 13.7% of GDP, followed by Accommodation and Food Services at 9.2%. Public Administration, Agriculture, and Real Estate each contribute approximately 6%, while Information </w:t>
      </w:r>
      <w:r w:rsidRPr="00DB00D1">
        <w:lastRenderedPageBreak/>
        <w:t>and</w:t>
      </w:r>
      <w:r>
        <w:rPr>
          <w:rFonts w:ascii="Calibri" w:hAnsi="Calibri" w:cs="Calibri"/>
        </w:rPr>
        <w:t> </w:t>
      </w:r>
      <w:r w:rsidRPr="00DB00D1">
        <w:t>Communication, Financial and Insurance Activities, and Education each represent around 4.5%. This</w:t>
      </w:r>
      <w:r>
        <w:rPr>
          <w:rFonts w:ascii="Calibri" w:hAnsi="Calibri" w:cs="Calibri"/>
        </w:rPr>
        <w:t> </w:t>
      </w:r>
      <w:r w:rsidRPr="00DB00D1">
        <w:t>clearly demonstrates that the majority of the country’s GDP is generated by the service sectors.</w:t>
      </w:r>
    </w:p>
    <w:p w14:paraId="17B6B45D" w14:textId="77777777" w:rsidR="00BA1E77" w:rsidRPr="00DB00D1" w:rsidRDefault="00BA1E77" w:rsidP="00BA1E77">
      <w:pPr>
        <w:pStyle w:val="JRCFigurecaption"/>
      </w:pPr>
      <w:bookmarkStart w:id="11" w:name="_Toc220938998"/>
      <w:bookmarkStart w:id="12" w:name="_Toc221271681"/>
      <w:r w:rsidRPr="00DB00D1">
        <w:rPr>
          <w:b/>
          <w:bCs/>
        </w:rPr>
        <w:t xml:space="preserve">Figure </w:t>
      </w:r>
      <w:r w:rsidRPr="00DB00D1">
        <w:rPr>
          <w:b/>
          <w:bCs/>
        </w:rPr>
        <w:fldChar w:fldCharType="begin"/>
      </w:r>
      <w:r w:rsidRPr="00DB00D1">
        <w:rPr>
          <w:b/>
          <w:bCs/>
        </w:rPr>
        <w:instrText xml:space="preserve"> SEQ Figure \* ARABIC </w:instrText>
      </w:r>
      <w:r w:rsidRPr="00DB00D1">
        <w:rPr>
          <w:b/>
          <w:bCs/>
        </w:rPr>
        <w:fldChar w:fldCharType="separate"/>
      </w:r>
      <w:r>
        <w:rPr>
          <w:b/>
          <w:bCs/>
          <w:noProof/>
        </w:rPr>
        <w:t>2</w:t>
      </w:r>
      <w:r w:rsidRPr="00DB00D1">
        <w:rPr>
          <w:b/>
          <w:bCs/>
        </w:rPr>
        <w:fldChar w:fldCharType="end"/>
      </w:r>
      <w:r>
        <w:rPr>
          <w:b/>
          <w:bCs/>
        </w:rPr>
        <w:t>.</w:t>
      </w:r>
      <w:r w:rsidRPr="00DB00D1">
        <w:t xml:space="preserve"> </w:t>
      </w:r>
      <w:r w:rsidRPr="00435544">
        <w:rPr>
          <w:iCs/>
        </w:rPr>
        <w:t xml:space="preserve">GDP structure at </w:t>
      </w:r>
      <w:r w:rsidRPr="00435544">
        <w:t>current</w:t>
      </w:r>
      <w:r w:rsidRPr="00435544">
        <w:rPr>
          <w:iCs/>
        </w:rPr>
        <w:t xml:space="preserve"> prices (2023)</w:t>
      </w:r>
      <w:bookmarkEnd w:id="11"/>
      <w:bookmarkEnd w:id="12"/>
    </w:p>
    <w:p w14:paraId="573209E2" w14:textId="77777777" w:rsidR="00BA1E77" w:rsidRPr="00DB00D1" w:rsidRDefault="00BA1E77" w:rsidP="00BA1E77">
      <w:pPr>
        <w:pStyle w:val="JRCFigureplaceholder"/>
        <w:rPr>
          <w:i/>
          <w:iCs/>
          <w:sz w:val="20"/>
          <w:szCs w:val="20"/>
        </w:rPr>
      </w:pPr>
      <w:r w:rsidRPr="00DB00D1">
        <w:rPr>
          <w:noProof/>
        </w:rPr>
        <w:drawing>
          <wp:inline distT="0" distB="0" distL="0" distR="0" wp14:anchorId="03C63294" wp14:editId="658F08D7">
            <wp:extent cx="6120000" cy="3240000"/>
            <wp:effectExtent l="0" t="0" r="14605" b="11430"/>
            <wp:docPr id="61881856" name="Grafico 1">
              <a:extLst xmlns:a="http://schemas.openxmlformats.org/drawingml/2006/main">
                <a:ext uri="{FF2B5EF4-FFF2-40B4-BE49-F238E27FC236}">
                  <a16:creationId xmlns:a16="http://schemas.microsoft.com/office/drawing/2014/main" id="{5B82CFC8-F330-FBDF-9855-1E884FF98CF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35B2027C" w14:textId="77777777" w:rsidR="00BA1E77" w:rsidRDefault="00BA1E77" w:rsidP="00BA1E77">
      <w:pPr>
        <w:pStyle w:val="JRCFiguresource"/>
      </w:pPr>
      <w:r w:rsidRPr="00B4714A">
        <w:rPr>
          <w:b/>
          <w:bCs/>
        </w:rPr>
        <w:t>Source:</w:t>
      </w:r>
      <w:r w:rsidRPr="00B4714A">
        <w:t xml:space="preserve"> </w:t>
      </w:r>
      <w:r>
        <w:t>A</w:t>
      </w:r>
      <w:r w:rsidRPr="00B4714A">
        <w:t>uthor</w:t>
      </w:r>
      <w:r>
        <w:t>s</w:t>
      </w:r>
      <w:r w:rsidRPr="00B4714A">
        <w:t xml:space="preserve">’ elaboration on </w:t>
      </w:r>
      <w:proofErr w:type="spellStart"/>
      <w:r w:rsidRPr="00B4714A">
        <w:t>Monstat</w:t>
      </w:r>
      <w:proofErr w:type="spellEnd"/>
      <w:r w:rsidRPr="00B4714A">
        <w:t xml:space="preserve"> data</w:t>
      </w:r>
    </w:p>
    <w:p w14:paraId="091631A8" w14:textId="77777777" w:rsidR="00BA1E77" w:rsidRPr="00B45F82" w:rsidRDefault="00BA1E77" w:rsidP="00BA1E77">
      <w:pPr>
        <w:pStyle w:val="JRCLevel-2title"/>
      </w:pPr>
      <w:bookmarkStart w:id="13" w:name="_Toc221016422"/>
      <w:r w:rsidRPr="00B45F82">
        <w:t>Regional disparities</w:t>
      </w:r>
      <w:bookmarkEnd w:id="13"/>
      <w:r w:rsidRPr="00B45F82">
        <w:t xml:space="preserve">  </w:t>
      </w:r>
    </w:p>
    <w:p w14:paraId="337BAF02" w14:textId="77777777" w:rsidR="00BA1E77" w:rsidRPr="002B2171" w:rsidRDefault="00BA1E77" w:rsidP="00BA1E77">
      <w:pPr>
        <w:pStyle w:val="JRCText"/>
      </w:pPr>
      <w:r w:rsidRPr="002B2171">
        <w:t>As of 2023, Montenegro has a population of just over 630 thousand inhabitants. Due to its relatively small size, the country is not divided into regions (NUTS-2 or NUTS-3). To address regional disparities, the</w:t>
      </w:r>
      <w:r>
        <w:rPr>
          <w:rFonts w:ascii="Calibri" w:hAnsi="Calibri" w:cs="Calibri"/>
        </w:rPr>
        <w:t> </w:t>
      </w:r>
      <w:r w:rsidRPr="002B2171">
        <w:t>analysis focuses on differences at the municipal level. Montenegro comprises 25 municipalities, with the capital city, Podgorica, home to nearly one-third of the population.</w:t>
      </w:r>
    </w:p>
    <w:p w14:paraId="2AF5A350" w14:textId="77777777" w:rsidR="00BA1E77" w:rsidRPr="002B2171" w:rsidRDefault="00BA1E77" w:rsidP="00BA1E77">
      <w:pPr>
        <w:pStyle w:val="JRCText"/>
      </w:pPr>
      <w:r w:rsidRPr="002B2171">
        <w:t xml:space="preserve">Figure 3 shows the distribution of the business entities in Montenegro. 32% of them </w:t>
      </w:r>
      <w:proofErr w:type="gramStart"/>
      <w:r w:rsidRPr="002B2171">
        <w:t>are located in</w:t>
      </w:r>
      <w:proofErr w:type="gramEnd"/>
      <w:r w:rsidRPr="002B2171">
        <w:t xml:space="preserve"> Podgorica, while only two other municipalities, Budva and Bar, account for at least 10% of the total business entities, with 17% and 10% respectively. This leaves the remaining 22 municipalities with just 41% of the business entities, many of which contribute approximately 1% each.</w:t>
      </w:r>
    </w:p>
    <w:p w14:paraId="2C8707C2" w14:textId="77777777" w:rsidR="00BA1E77" w:rsidRPr="00DB00D1" w:rsidRDefault="00BA1E77" w:rsidP="00BA1E77">
      <w:pPr>
        <w:rPr>
          <w:lang w:val="en-IE"/>
        </w:rPr>
      </w:pPr>
    </w:p>
    <w:p w14:paraId="53417332" w14:textId="77777777" w:rsidR="00BA1E77" w:rsidRPr="00DB00D1" w:rsidRDefault="00BA1E77" w:rsidP="00BA1E77">
      <w:pPr>
        <w:pStyle w:val="JRCFigurecaption"/>
      </w:pPr>
      <w:bookmarkStart w:id="14" w:name="_Toc220938999"/>
      <w:bookmarkStart w:id="15" w:name="_Toc221271682"/>
      <w:r w:rsidRPr="00DB00D1">
        <w:rPr>
          <w:b/>
          <w:bCs/>
        </w:rPr>
        <w:lastRenderedPageBreak/>
        <w:t xml:space="preserve">Figure </w:t>
      </w:r>
      <w:r w:rsidRPr="00DB00D1">
        <w:rPr>
          <w:b/>
          <w:bCs/>
        </w:rPr>
        <w:fldChar w:fldCharType="begin"/>
      </w:r>
      <w:r w:rsidRPr="00DB00D1">
        <w:rPr>
          <w:b/>
          <w:bCs/>
        </w:rPr>
        <w:instrText xml:space="preserve"> SEQ Figure \* ARABIC </w:instrText>
      </w:r>
      <w:r w:rsidRPr="00DB00D1">
        <w:rPr>
          <w:b/>
          <w:bCs/>
        </w:rPr>
        <w:fldChar w:fldCharType="separate"/>
      </w:r>
      <w:r>
        <w:rPr>
          <w:b/>
          <w:bCs/>
          <w:noProof/>
        </w:rPr>
        <w:t>3</w:t>
      </w:r>
      <w:r w:rsidRPr="00DB00D1">
        <w:rPr>
          <w:b/>
          <w:bCs/>
        </w:rPr>
        <w:fldChar w:fldCharType="end"/>
      </w:r>
      <w:r>
        <w:rPr>
          <w:b/>
          <w:bCs/>
        </w:rPr>
        <w:t>.</w:t>
      </w:r>
      <w:r w:rsidRPr="00DB00D1">
        <w:t xml:space="preserve"> </w:t>
      </w:r>
      <w:r w:rsidRPr="00435544">
        <w:rPr>
          <w:iCs/>
        </w:rPr>
        <w:t>Distribution</w:t>
      </w:r>
      <w:r w:rsidRPr="00DB00D1">
        <w:t xml:space="preserve"> of business entities by municipality</w:t>
      </w:r>
      <w:bookmarkEnd w:id="14"/>
      <w:bookmarkEnd w:id="15"/>
    </w:p>
    <w:p w14:paraId="10ED1737" w14:textId="77777777" w:rsidR="00BA1E77" w:rsidRPr="00DB00D1" w:rsidRDefault="00BA1E77" w:rsidP="00BA1E77">
      <w:pPr>
        <w:pStyle w:val="JRCFigureplaceholder"/>
      </w:pPr>
      <w:r w:rsidRPr="00DB00D1">
        <w:rPr>
          <w:noProof/>
        </w:rPr>
        <w:drawing>
          <wp:inline distT="0" distB="0" distL="0" distR="0" wp14:anchorId="3B531F56" wp14:editId="7EE5EA0C">
            <wp:extent cx="6120000" cy="2520000"/>
            <wp:effectExtent l="0" t="0" r="14605" b="7620"/>
            <wp:docPr id="1793743818" name="Grafico 1">
              <a:extLst xmlns:a="http://schemas.openxmlformats.org/drawingml/2006/main">
                <a:ext uri="{FF2B5EF4-FFF2-40B4-BE49-F238E27FC236}">
                  <a16:creationId xmlns:a16="http://schemas.microsoft.com/office/drawing/2014/main" id="{9A97A69C-3921-E77A-7051-4C7101B0B99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72A0487B" w14:textId="77777777" w:rsidR="00BA1E77" w:rsidRPr="0089684B" w:rsidRDefault="00BA1E77" w:rsidP="00BA1E77">
      <w:pPr>
        <w:pStyle w:val="JRCFiguresource"/>
      </w:pPr>
      <w:r w:rsidRPr="0089684B">
        <w:rPr>
          <w:b/>
          <w:bCs/>
        </w:rPr>
        <w:t>Source:</w:t>
      </w:r>
      <w:r w:rsidRPr="0089684B">
        <w:t xml:space="preserve"> </w:t>
      </w:r>
      <w:r>
        <w:t>A</w:t>
      </w:r>
      <w:r w:rsidRPr="0089684B">
        <w:t xml:space="preserve">uthor’s elaboration on </w:t>
      </w:r>
      <w:proofErr w:type="spellStart"/>
      <w:r w:rsidRPr="0089684B">
        <w:t>Monstat</w:t>
      </w:r>
      <w:proofErr w:type="spellEnd"/>
      <w:r w:rsidRPr="0089684B">
        <w:t xml:space="preserve"> data</w:t>
      </w:r>
    </w:p>
    <w:p w14:paraId="0A099D09" w14:textId="77777777" w:rsidR="00BA1E77" w:rsidRPr="00DB00D1" w:rsidRDefault="00BA1E77" w:rsidP="00BA1E77">
      <w:pPr>
        <w:pStyle w:val="JRCText"/>
      </w:pPr>
      <w:r w:rsidRPr="00DB00D1">
        <w:t>Regarding the sectoral distribution of business entities (see Figure 4), there is a slight deviation from the GDP representation (see Figure 2). The Wholesale and Retail industry maintains its leading position with a share of 23%. Following that, the second, third and fourth positions are occupied respectively by Professional scientific and technical activities at 16%; Accommodation and food services at 11% and Construction at 10%.</w:t>
      </w:r>
    </w:p>
    <w:p w14:paraId="2DDA099C" w14:textId="77777777" w:rsidR="00BA1E77" w:rsidRPr="00DB00D1" w:rsidRDefault="00BA1E77" w:rsidP="00BA1E77">
      <w:pPr>
        <w:pStyle w:val="JRCFigurecaption"/>
      </w:pPr>
      <w:bookmarkStart w:id="16" w:name="_Toc220939000"/>
      <w:bookmarkStart w:id="17" w:name="_Toc221271683"/>
      <w:r w:rsidRPr="000E2296">
        <w:rPr>
          <w:b/>
          <w:bCs/>
        </w:rPr>
        <w:t xml:space="preserve">Figure </w:t>
      </w:r>
      <w:r w:rsidRPr="000E2296">
        <w:rPr>
          <w:b/>
          <w:bCs/>
        </w:rPr>
        <w:fldChar w:fldCharType="begin"/>
      </w:r>
      <w:r w:rsidRPr="000E2296">
        <w:rPr>
          <w:b/>
          <w:bCs/>
        </w:rPr>
        <w:instrText xml:space="preserve"> SEQ Figure \* ARABIC </w:instrText>
      </w:r>
      <w:r w:rsidRPr="000E2296">
        <w:rPr>
          <w:b/>
          <w:bCs/>
        </w:rPr>
        <w:fldChar w:fldCharType="separate"/>
      </w:r>
      <w:r>
        <w:rPr>
          <w:b/>
          <w:bCs/>
          <w:noProof/>
        </w:rPr>
        <w:t>4</w:t>
      </w:r>
      <w:r w:rsidRPr="000E2296">
        <w:rPr>
          <w:b/>
          <w:bCs/>
        </w:rPr>
        <w:fldChar w:fldCharType="end"/>
      </w:r>
      <w:r>
        <w:rPr>
          <w:b/>
          <w:bCs/>
        </w:rPr>
        <w:t>.</w:t>
      </w:r>
      <w:r w:rsidRPr="00DB00D1">
        <w:t xml:space="preserve"> Percentage of business entities by sector</w:t>
      </w:r>
      <w:bookmarkEnd w:id="16"/>
      <w:bookmarkEnd w:id="17"/>
    </w:p>
    <w:p w14:paraId="20AF6703" w14:textId="77777777" w:rsidR="00BA1E77" w:rsidRPr="00DB00D1" w:rsidRDefault="00BA1E77" w:rsidP="00BA1E77">
      <w:pPr>
        <w:pStyle w:val="JRCFigureplaceholder"/>
      </w:pPr>
      <w:r w:rsidRPr="00DB00D1">
        <w:rPr>
          <w:noProof/>
        </w:rPr>
        <w:drawing>
          <wp:inline distT="0" distB="0" distL="0" distR="0" wp14:anchorId="5550DD52" wp14:editId="1A478283">
            <wp:extent cx="6120000" cy="2520000"/>
            <wp:effectExtent l="0" t="0" r="14605" b="7620"/>
            <wp:docPr id="1987009487" name="Grafico 1">
              <a:extLst xmlns:a="http://schemas.openxmlformats.org/drawingml/2006/main">
                <a:ext uri="{FF2B5EF4-FFF2-40B4-BE49-F238E27FC236}">
                  <a16:creationId xmlns:a16="http://schemas.microsoft.com/office/drawing/2014/main" id="{26150E32-8F41-B3B3-40E5-E67D68E7C03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040FA08E" w14:textId="77777777" w:rsidR="00BA1E77" w:rsidRPr="0089684B" w:rsidRDefault="00BA1E77" w:rsidP="00BA1E77">
      <w:pPr>
        <w:pStyle w:val="JRCFiguresource"/>
      </w:pPr>
      <w:r w:rsidRPr="0089684B">
        <w:rPr>
          <w:b/>
          <w:bCs/>
        </w:rPr>
        <w:t>Source:</w:t>
      </w:r>
      <w:r w:rsidRPr="0089684B">
        <w:t xml:space="preserve"> </w:t>
      </w:r>
      <w:r>
        <w:t>A</w:t>
      </w:r>
      <w:r w:rsidRPr="0089684B">
        <w:t>uthor</w:t>
      </w:r>
      <w:r>
        <w:t>s</w:t>
      </w:r>
      <w:r w:rsidRPr="0089684B">
        <w:t xml:space="preserve">’ elaboration on </w:t>
      </w:r>
      <w:proofErr w:type="spellStart"/>
      <w:r w:rsidRPr="0089684B">
        <w:t>Monstat</w:t>
      </w:r>
      <w:proofErr w:type="spellEnd"/>
      <w:r w:rsidRPr="0089684B">
        <w:t xml:space="preserve"> dat</w:t>
      </w:r>
      <w:r>
        <w:t>a</w:t>
      </w:r>
    </w:p>
    <w:p w14:paraId="668F1F7B" w14:textId="77777777" w:rsidR="00BA1E77" w:rsidRPr="00DB00D1" w:rsidRDefault="00BA1E77" w:rsidP="00BA1E77">
      <w:pPr>
        <w:pStyle w:val="JRCText"/>
      </w:pPr>
      <w:r w:rsidRPr="00DB00D1">
        <w:t xml:space="preserve">Figure 5 illustrates the distribution of business entities by sector across each municipality. It highlights that Kotor, Ulcinj, </w:t>
      </w:r>
      <w:proofErr w:type="spellStart"/>
      <w:r w:rsidRPr="00DB00D1">
        <w:t>Kolasin</w:t>
      </w:r>
      <w:proofErr w:type="spellEnd"/>
      <w:r w:rsidRPr="00DB00D1">
        <w:t xml:space="preserve">, </w:t>
      </w:r>
      <w:proofErr w:type="spellStart"/>
      <w:r w:rsidRPr="00DB00D1">
        <w:t>Žabljak</w:t>
      </w:r>
      <w:proofErr w:type="spellEnd"/>
      <w:r w:rsidRPr="00DB00D1">
        <w:t xml:space="preserve">, </w:t>
      </w:r>
      <w:proofErr w:type="spellStart"/>
      <w:r w:rsidRPr="00DB00D1">
        <w:t>Šavnik</w:t>
      </w:r>
      <w:proofErr w:type="spellEnd"/>
      <w:r w:rsidRPr="00DB00D1">
        <w:t xml:space="preserve">, and </w:t>
      </w:r>
      <w:proofErr w:type="spellStart"/>
      <w:r w:rsidRPr="00DB00D1">
        <w:t>Plužine</w:t>
      </w:r>
      <w:proofErr w:type="spellEnd"/>
      <w:r w:rsidRPr="00DB00D1">
        <w:t xml:space="preserve"> exhibit a significant concentration of business entities in the Accommodation and Food Services sector. In contrast, the Manufacturing sector shows notable percentages in </w:t>
      </w:r>
      <w:proofErr w:type="spellStart"/>
      <w:r w:rsidRPr="00DB00D1">
        <w:t>Petnjica</w:t>
      </w:r>
      <w:proofErr w:type="spellEnd"/>
      <w:r w:rsidRPr="00DB00D1">
        <w:t xml:space="preserve">, </w:t>
      </w:r>
      <w:proofErr w:type="spellStart"/>
      <w:r w:rsidRPr="00DB00D1">
        <w:t>Rožaje</w:t>
      </w:r>
      <w:proofErr w:type="spellEnd"/>
      <w:r w:rsidRPr="00DB00D1">
        <w:t xml:space="preserve">, and </w:t>
      </w:r>
      <w:proofErr w:type="spellStart"/>
      <w:r w:rsidRPr="00DB00D1">
        <w:t>Andrijevica</w:t>
      </w:r>
      <w:proofErr w:type="spellEnd"/>
      <w:r w:rsidRPr="00DB00D1">
        <w:t>.</w:t>
      </w:r>
    </w:p>
    <w:p w14:paraId="1BB79EDB" w14:textId="77777777" w:rsidR="00BA1E77" w:rsidRPr="00DB00D1" w:rsidRDefault="00BA1E77" w:rsidP="00BA1E77">
      <w:pPr>
        <w:pStyle w:val="JRCFigurecaption"/>
      </w:pPr>
      <w:bookmarkStart w:id="18" w:name="_Toc220939001"/>
      <w:bookmarkStart w:id="19" w:name="_Toc221271684"/>
      <w:r w:rsidRPr="000E2296">
        <w:rPr>
          <w:b/>
          <w:bCs/>
        </w:rPr>
        <w:lastRenderedPageBreak/>
        <w:t xml:space="preserve">Figure </w:t>
      </w:r>
      <w:r w:rsidRPr="000E2296">
        <w:rPr>
          <w:b/>
          <w:bCs/>
        </w:rPr>
        <w:fldChar w:fldCharType="begin"/>
      </w:r>
      <w:r w:rsidRPr="000E2296">
        <w:rPr>
          <w:b/>
          <w:bCs/>
        </w:rPr>
        <w:instrText xml:space="preserve"> SEQ Figure \* ARABIC </w:instrText>
      </w:r>
      <w:r w:rsidRPr="000E2296">
        <w:rPr>
          <w:b/>
          <w:bCs/>
        </w:rPr>
        <w:fldChar w:fldCharType="separate"/>
      </w:r>
      <w:r>
        <w:rPr>
          <w:b/>
          <w:bCs/>
          <w:noProof/>
        </w:rPr>
        <w:t>5</w:t>
      </w:r>
      <w:r w:rsidRPr="000E2296">
        <w:rPr>
          <w:b/>
          <w:bCs/>
        </w:rPr>
        <w:fldChar w:fldCharType="end"/>
      </w:r>
      <w:r>
        <w:rPr>
          <w:b/>
          <w:bCs/>
        </w:rPr>
        <w:t>.</w:t>
      </w:r>
      <w:r w:rsidRPr="00DB00D1">
        <w:t xml:space="preserve"> Percentage of business entities by sector and municipalit</w:t>
      </w:r>
      <w:r>
        <w:t>y</w:t>
      </w:r>
      <w:bookmarkEnd w:id="18"/>
      <w:bookmarkEnd w:id="19"/>
    </w:p>
    <w:p w14:paraId="6E5603FC" w14:textId="77777777" w:rsidR="00BA1E77" w:rsidRPr="00DB00D1" w:rsidRDefault="00BA1E77" w:rsidP="00BA1E77">
      <w:pPr>
        <w:pStyle w:val="JRCText"/>
        <w:spacing w:before="0" w:after="0" w:line="240" w:lineRule="auto"/>
        <w:jc w:val="center"/>
      </w:pPr>
      <w:r w:rsidRPr="00DB00D1">
        <w:rPr>
          <w:noProof/>
        </w:rPr>
        <w:drawing>
          <wp:inline distT="0" distB="0" distL="0" distR="0" wp14:anchorId="44668866" wp14:editId="2C8B7C5C">
            <wp:extent cx="6120000" cy="6356902"/>
            <wp:effectExtent l="0" t="0" r="14605" b="6350"/>
            <wp:docPr id="942610630" name="Grafico 1">
              <a:extLst xmlns:a="http://schemas.openxmlformats.org/drawingml/2006/main">
                <a:ext uri="{FF2B5EF4-FFF2-40B4-BE49-F238E27FC236}">
                  <a16:creationId xmlns:a16="http://schemas.microsoft.com/office/drawing/2014/main" id="{89BC49AE-07FC-A627-450A-45C0E276EA5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74E3BEDF" w14:textId="77777777" w:rsidR="00BA1E77" w:rsidRPr="003C5678" w:rsidRDefault="00BA1E77" w:rsidP="00BA1E77">
      <w:pPr>
        <w:pStyle w:val="JRCFiguresource"/>
      </w:pPr>
      <w:r>
        <w:br/>
      </w:r>
      <w:r w:rsidRPr="003C5678">
        <w:rPr>
          <w:b/>
          <w:bCs/>
        </w:rPr>
        <w:t>Source:</w:t>
      </w:r>
      <w:r w:rsidRPr="003C5678">
        <w:t xml:space="preserve"> </w:t>
      </w:r>
      <w:r>
        <w:t>A</w:t>
      </w:r>
      <w:r w:rsidRPr="003C5678">
        <w:t>uthor</w:t>
      </w:r>
      <w:r>
        <w:t>s</w:t>
      </w:r>
      <w:r w:rsidRPr="003C5678">
        <w:t xml:space="preserve">’ elaboration on </w:t>
      </w:r>
      <w:proofErr w:type="spellStart"/>
      <w:r w:rsidRPr="003C5678">
        <w:t>Monstat</w:t>
      </w:r>
      <w:proofErr w:type="spellEnd"/>
      <w:r w:rsidRPr="003C5678">
        <w:t xml:space="preserve"> data</w:t>
      </w:r>
    </w:p>
    <w:p w14:paraId="601E799B" w14:textId="77777777" w:rsidR="00BA1E77" w:rsidRPr="00DB00D1" w:rsidRDefault="00BA1E77" w:rsidP="00BA1E77">
      <w:pPr>
        <w:pStyle w:val="JRCText"/>
        <w:spacing w:line="276" w:lineRule="auto"/>
      </w:pPr>
      <w:r w:rsidRPr="00DB00D1">
        <w:t>Figure 6 clearly shows the differences between Podgorica and the other cities in terms of firms’ sales</w:t>
      </w:r>
      <w:r w:rsidRPr="00DB00D1">
        <w:rPr>
          <w:rStyle w:val="FootnoteReference"/>
        </w:rPr>
        <w:footnoteReference w:id="2"/>
      </w:r>
      <w:r w:rsidRPr="00DB00D1">
        <w:t xml:space="preserve"> </w:t>
      </w:r>
      <w:proofErr w:type="gramStart"/>
      <w:r w:rsidRPr="00DB00D1">
        <w:t>and also</w:t>
      </w:r>
      <w:proofErr w:type="gramEnd"/>
      <w:r w:rsidRPr="00DB00D1">
        <w:t xml:space="preserve"> their evolution over the last years. This shows an interesting growth in all major cities. However, the capital outperforms all the others by far.</w:t>
      </w:r>
    </w:p>
    <w:p w14:paraId="0C2C0E3F" w14:textId="77777777" w:rsidR="00BA1E77" w:rsidRPr="00DB00D1" w:rsidRDefault="00BA1E77" w:rsidP="00BA1E77">
      <w:pPr>
        <w:pStyle w:val="JRCFigurecaption"/>
      </w:pPr>
      <w:bookmarkStart w:id="20" w:name="_Toc220939002"/>
      <w:bookmarkStart w:id="21" w:name="_Toc221271685"/>
      <w:r w:rsidRPr="000E2296">
        <w:rPr>
          <w:b/>
          <w:bCs/>
        </w:rPr>
        <w:lastRenderedPageBreak/>
        <w:t xml:space="preserve">Figure </w:t>
      </w:r>
      <w:r w:rsidRPr="000E2296">
        <w:rPr>
          <w:b/>
          <w:bCs/>
        </w:rPr>
        <w:fldChar w:fldCharType="begin"/>
      </w:r>
      <w:r w:rsidRPr="000E2296">
        <w:rPr>
          <w:b/>
          <w:bCs/>
        </w:rPr>
        <w:instrText xml:space="preserve"> SEQ Figure \* ARABIC </w:instrText>
      </w:r>
      <w:r w:rsidRPr="000E2296">
        <w:rPr>
          <w:b/>
          <w:bCs/>
        </w:rPr>
        <w:fldChar w:fldCharType="separate"/>
      </w:r>
      <w:r>
        <w:rPr>
          <w:b/>
          <w:bCs/>
          <w:noProof/>
        </w:rPr>
        <w:t>6</w:t>
      </w:r>
      <w:r w:rsidRPr="000E2296">
        <w:rPr>
          <w:b/>
          <w:bCs/>
        </w:rPr>
        <w:fldChar w:fldCharType="end"/>
      </w:r>
      <w:r>
        <w:rPr>
          <w:b/>
          <w:bCs/>
        </w:rPr>
        <w:t>.</w:t>
      </w:r>
      <w:r w:rsidRPr="00DB00D1">
        <w:t xml:space="preserve"> Firms’ sales percentage by city </w:t>
      </w:r>
      <w:r>
        <w:t>(</w:t>
      </w:r>
      <w:r w:rsidRPr="00DB00D1">
        <w:t>2018-2022</w:t>
      </w:r>
      <w:r>
        <w:t>)</w:t>
      </w:r>
      <w:bookmarkEnd w:id="20"/>
      <w:bookmarkEnd w:id="21"/>
    </w:p>
    <w:p w14:paraId="112B3FB0" w14:textId="77777777" w:rsidR="00BA1E77" w:rsidRPr="00DB00D1" w:rsidRDefault="00BA1E77" w:rsidP="00BA1E77">
      <w:pPr>
        <w:pStyle w:val="JRCFigureplaceholder"/>
      </w:pPr>
      <w:r w:rsidRPr="004D2063">
        <w:rPr>
          <w:noProof/>
        </w:rPr>
        <w:drawing>
          <wp:inline distT="0" distB="0" distL="0" distR="0" wp14:anchorId="7E2E9DF3" wp14:editId="5D6E6CE2">
            <wp:extent cx="6120000" cy="3240000"/>
            <wp:effectExtent l="0" t="0" r="14605" b="11430"/>
            <wp:docPr id="284146425" name="Grafico 1">
              <a:extLst xmlns:a="http://schemas.openxmlformats.org/drawingml/2006/main">
                <a:ext uri="{FF2B5EF4-FFF2-40B4-BE49-F238E27FC236}">
                  <a16:creationId xmlns:a16="http://schemas.microsoft.com/office/drawing/2014/main" id="{C4C4B75D-88FF-4401-D13F-0B240F2E654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4336EA46" w14:textId="77777777" w:rsidR="00BA1E77" w:rsidRPr="004D2063" w:rsidRDefault="00BA1E77" w:rsidP="00BA1E77">
      <w:pPr>
        <w:pStyle w:val="JRCFiguresource"/>
      </w:pPr>
      <w:r w:rsidRPr="00FE3A4B">
        <w:rPr>
          <w:b/>
          <w:bCs/>
        </w:rPr>
        <w:t>Source:</w:t>
      </w:r>
      <w:r w:rsidRPr="004D2063">
        <w:t xml:space="preserve"> </w:t>
      </w:r>
      <w:r>
        <w:t>A</w:t>
      </w:r>
      <w:r w:rsidRPr="004D2063">
        <w:t>uthor</w:t>
      </w:r>
      <w:r>
        <w:t>s</w:t>
      </w:r>
      <w:r w:rsidRPr="004D2063">
        <w:t>’ elaboration on ORBIS</w:t>
      </w:r>
    </w:p>
    <w:p w14:paraId="2CC66722" w14:textId="77777777" w:rsidR="00BA1E77" w:rsidRPr="004D2063" w:rsidRDefault="00BA1E77" w:rsidP="00BA1E77">
      <w:pPr>
        <w:pStyle w:val="JRCLevel-2title"/>
      </w:pPr>
      <w:bookmarkStart w:id="22" w:name="_Toc221016423"/>
      <w:r w:rsidRPr="004D2063">
        <w:t>Entrepreneurship and sales</w:t>
      </w:r>
      <w:bookmarkEnd w:id="22"/>
    </w:p>
    <w:p w14:paraId="526F45D0" w14:textId="77777777" w:rsidR="00BA1E77" w:rsidRPr="00DB00D1" w:rsidRDefault="00BA1E77" w:rsidP="00BA1E77">
      <w:pPr>
        <w:pStyle w:val="JRCText"/>
        <w:spacing w:line="276" w:lineRule="auto"/>
      </w:pPr>
      <w:r w:rsidRPr="00DB00D1">
        <w:t>One other key element for the evolution of a country is represented by the entrepreneurial dynamics. For</w:t>
      </w:r>
      <w:r>
        <w:rPr>
          <w:rFonts w:ascii="Calibri" w:hAnsi="Calibri" w:cs="Calibri"/>
        </w:rPr>
        <w:t> </w:t>
      </w:r>
      <w:r w:rsidRPr="00DB00D1">
        <w:t>this reason, in the following table 2 and Figure 7, are shown respectively the evolution of new venture</w:t>
      </w:r>
      <w:r>
        <w:rPr>
          <w:rFonts w:ascii="Calibri" w:hAnsi="Calibri" w:cs="Calibri"/>
        </w:rPr>
        <w:t> </w:t>
      </w:r>
      <w:r w:rsidRPr="00DB00D1">
        <w:t>creation in the country over the period 2014-2023 and the most dynamic sectors in terms of new</w:t>
      </w:r>
      <w:r>
        <w:rPr>
          <w:rFonts w:ascii="Calibri" w:hAnsi="Calibri" w:cs="Calibri"/>
        </w:rPr>
        <w:t> </w:t>
      </w:r>
      <w:r w:rsidRPr="00DB00D1">
        <w:t>capital</w:t>
      </w:r>
      <w:r>
        <w:rPr>
          <w:rFonts w:ascii="Calibri" w:hAnsi="Calibri" w:cs="Calibri"/>
        </w:rPr>
        <w:t> </w:t>
      </w:r>
      <w:r w:rsidRPr="00DB00D1">
        <w:t>companies.</w:t>
      </w:r>
    </w:p>
    <w:p w14:paraId="11D61AD3" w14:textId="77777777" w:rsidR="00BA1E77" w:rsidRPr="00DB00D1" w:rsidRDefault="00BA1E77" w:rsidP="00BA1E77">
      <w:pPr>
        <w:pStyle w:val="JRCText"/>
        <w:spacing w:line="276" w:lineRule="auto"/>
      </w:pPr>
      <w:r w:rsidRPr="00DB00D1">
        <w:t>Also, in this case, it is possible to notice the acceleration of new ventures creation after the COVID-19 outbreak, with a value that increased from 3-4 thousand of the periods 2014-21 to values of around 8800 new companies for the last two years.</w:t>
      </w:r>
    </w:p>
    <w:p w14:paraId="5DCFD775" w14:textId="77777777" w:rsidR="00BA1E77" w:rsidRPr="00DB00D1" w:rsidRDefault="00BA1E77" w:rsidP="00BA1E77">
      <w:pPr>
        <w:pStyle w:val="JRCTabletitle"/>
      </w:pPr>
      <w:bookmarkStart w:id="23" w:name="_Toc220938954"/>
      <w:bookmarkStart w:id="24" w:name="_Toc221271664"/>
      <w:r w:rsidRPr="00C62602">
        <w:rPr>
          <w:b/>
          <w:bCs/>
        </w:rPr>
        <w:t xml:space="preserve">Table </w:t>
      </w:r>
      <w:r w:rsidRPr="00C62602">
        <w:rPr>
          <w:b/>
          <w:bCs/>
        </w:rPr>
        <w:fldChar w:fldCharType="begin"/>
      </w:r>
      <w:r w:rsidRPr="00C62602">
        <w:rPr>
          <w:b/>
          <w:bCs/>
        </w:rPr>
        <w:instrText xml:space="preserve"> SEQ Table \* ARABIC </w:instrText>
      </w:r>
      <w:r w:rsidRPr="00C62602">
        <w:rPr>
          <w:b/>
          <w:bCs/>
        </w:rPr>
        <w:fldChar w:fldCharType="separate"/>
      </w:r>
      <w:r>
        <w:rPr>
          <w:b/>
          <w:bCs/>
          <w:noProof/>
        </w:rPr>
        <w:t>2</w:t>
      </w:r>
      <w:r w:rsidRPr="00C62602">
        <w:rPr>
          <w:b/>
          <w:bCs/>
        </w:rPr>
        <w:fldChar w:fldCharType="end"/>
      </w:r>
      <w:r>
        <w:rPr>
          <w:b/>
          <w:bCs/>
        </w:rPr>
        <w:t>.</w:t>
      </w:r>
      <w:r w:rsidRPr="00C62602">
        <w:rPr>
          <w:b/>
          <w:bCs/>
        </w:rPr>
        <w:t xml:space="preserve"> </w:t>
      </w:r>
      <w:r w:rsidRPr="00DB00D1">
        <w:t>Number of new companies in the country (2014-2023)</w:t>
      </w:r>
      <w:bookmarkEnd w:id="23"/>
      <w:bookmarkEnd w:id="24"/>
    </w:p>
    <w:tbl>
      <w:tblPr>
        <w:tblStyle w:val="JRCTableBasic"/>
        <w:tblW w:w="5000" w:type="pct"/>
        <w:tblLook w:val="04A0" w:firstRow="1" w:lastRow="0" w:firstColumn="1" w:lastColumn="0" w:noHBand="0" w:noVBand="1"/>
      </w:tblPr>
      <w:tblGrid>
        <w:gridCol w:w="1679"/>
        <w:gridCol w:w="929"/>
        <w:gridCol w:w="779"/>
        <w:gridCol w:w="779"/>
        <w:gridCol w:w="779"/>
        <w:gridCol w:w="779"/>
        <w:gridCol w:w="779"/>
        <w:gridCol w:w="779"/>
        <w:gridCol w:w="779"/>
        <w:gridCol w:w="780"/>
        <w:gridCol w:w="787"/>
      </w:tblGrid>
      <w:tr w:rsidR="00BA1E77" w:rsidRPr="00D63AC0" w14:paraId="4AD43ABC" w14:textId="77777777" w:rsidTr="00C70998">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858" w:type="pct"/>
            <w:noWrap/>
            <w:hideMark/>
          </w:tcPr>
          <w:p w14:paraId="0989964C" w14:textId="77777777" w:rsidR="00BA1E77" w:rsidRPr="00D63AC0" w:rsidRDefault="00BA1E77" w:rsidP="00C70998">
            <w:pPr>
              <w:pStyle w:val="JRCTabletext10pt"/>
            </w:pPr>
          </w:p>
        </w:tc>
        <w:tc>
          <w:tcPr>
            <w:tcW w:w="484" w:type="pct"/>
            <w:noWrap/>
            <w:hideMark/>
          </w:tcPr>
          <w:p w14:paraId="7E579F92" w14:textId="77777777" w:rsidR="00BA1E77" w:rsidRPr="00D63AC0" w:rsidRDefault="00BA1E77" w:rsidP="00C70998">
            <w:pPr>
              <w:pStyle w:val="JRCTableBoxtitle"/>
              <w:jc w:val="left"/>
              <w:cnfStyle w:val="100000000000" w:firstRow="1" w:lastRow="0" w:firstColumn="0" w:lastColumn="0" w:oddVBand="0" w:evenVBand="0" w:oddHBand="0" w:evenHBand="0" w:firstRowFirstColumn="0" w:firstRowLastColumn="0" w:lastRowFirstColumn="0" w:lastRowLastColumn="0"/>
              <w:rPr>
                <w:b/>
                <w:bCs/>
              </w:rPr>
            </w:pPr>
            <w:r w:rsidRPr="00D63AC0">
              <w:rPr>
                <w:b/>
                <w:bCs/>
              </w:rPr>
              <w:t>2014</w:t>
            </w:r>
          </w:p>
        </w:tc>
        <w:tc>
          <w:tcPr>
            <w:tcW w:w="406" w:type="pct"/>
            <w:noWrap/>
            <w:hideMark/>
          </w:tcPr>
          <w:p w14:paraId="0291AC90" w14:textId="77777777" w:rsidR="00BA1E77" w:rsidRPr="00D63AC0" w:rsidRDefault="00BA1E77" w:rsidP="00C70998">
            <w:pPr>
              <w:pStyle w:val="JRCTableBoxtitle"/>
              <w:jc w:val="left"/>
              <w:cnfStyle w:val="100000000000" w:firstRow="1" w:lastRow="0" w:firstColumn="0" w:lastColumn="0" w:oddVBand="0" w:evenVBand="0" w:oddHBand="0" w:evenHBand="0" w:firstRowFirstColumn="0" w:firstRowLastColumn="0" w:lastRowFirstColumn="0" w:lastRowLastColumn="0"/>
              <w:rPr>
                <w:b/>
                <w:bCs/>
              </w:rPr>
            </w:pPr>
            <w:r w:rsidRPr="00D63AC0">
              <w:rPr>
                <w:b/>
                <w:bCs/>
              </w:rPr>
              <w:t>2015</w:t>
            </w:r>
          </w:p>
        </w:tc>
        <w:tc>
          <w:tcPr>
            <w:tcW w:w="406" w:type="pct"/>
            <w:noWrap/>
            <w:hideMark/>
          </w:tcPr>
          <w:p w14:paraId="2995C1FE" w14:textId="77777777" w:rsidR="00BA1E77" w:rsidRPr="00D63AC0" w:rsidRDefault="00BA1E77" w:rsidP="00C70998">
            <w:pPr>
              <w:pStyle w:val="JRCTableBoxtitle"/>
              <w:jc w:val="left"/>
              <w:cnfStyle w:val="100000000000" w:firstRow="1" w:lastRow="0" w:firstColumn="0" w:lastColumn="0" w:oddVBand="0" w:evenVBand="0" w:oddHBand="0" w:evenHBand="0" w:firstRowFirstColumn="0" w:firstRowLastColumn="0" w:lastRowFirstColumn="0" w:lastRowLastColumn="0"/>
              <w:rPr>
                <w:b/>
                <w:bCs/>
              </w:rPr>
            </w:pPr>
            <w:r w:rsidRPr="00D63AC0">
              <w:rPr>
                <w:b/>
                <w:bCs/>
              </w:rPr>
              <w:t>2016</w:t>
            </w:r>
          </w:p>
        </w:tc>
        <w:tc>
          <w:tcPr>
            <w:tcW w:w="406" w:type="pct"/>
            <w:noWrap/>
            <w:hideMark/>
          </w:tcPr>
          <w:p w14:paraId="713FF128" w14:textId="77777777" w:rsidR="00BA1E77" w:rsidRPr="00D63AC0" w:rsidRDefault="00BA1E77" w:rsidP="00C70998">
            <w:pPr>
              <w:pStyle w:val="JRCTableBoxtitle"/>
              <w:jc w:val="left"/>
              <w:cnfStyle w:val="100000000000" w:firstRow="1" w:lastRow="0" w:firstColumn="0" w:lastColumn="0" w:oddVBand="0" w:evenVBand="0" w:oddHBand="0" w:evenHBand="0" w:firstRowFirstColumn="0" w:firstRowLastColumn="0" w:lastRowFirstColumn="0" w:lastRowLastColumn="0"/>
              <w:rPr>
                <w:b/>
                <w:bCs/>
              </w:rPr>
            </w:pPr>
            <w:r w:rsidRPr="00D63AC0">
              <w:rPr>
                <w:b/>
                <w:bCs/>
              </w:rPr>
              <w:t>2017</w:t>
            </w:r>
          </w:p>
        </w:tc>
        <w:tc>
          <w:tcPr>
            <w:tcW w:w="406" w:type="pct"/>
            <w:noWrap/>
            <w:hideMark/>
          </w:tcPr>
          <w:p w14:paraId="3D13921A" w14:textId="77777777" w:rsidR="00BA1E77" w:rsidRPr="00D63AC0" w:rsidRDefault="00BA1E77" w:rsidP="00C70998">
            <w:pPr>
              <w:pStyle w:val="JRCTableBoxtitle"/>
              <w:jc w:val="left"/>
              <w:cnfStyle w:val="100000000000" w:firstRow="1" w:lastRow="0" w:firstColumn="0" w:lastColumn="0" w:oddVBand="0" w:evenVBand="0" w:oddHBand="0" w:evenHBand="0" w:firstRowFirstColumn="0" w:firstRowLastColumn="0" w:lastRowFirstColumn="0" w:lastRowLastColumn="0"/>
              <w:rPr>
                <w:b/>
                <w:bCs/>
              </w:rPr>
            </w:pPr>
            <w:r w:rsidRPr="00D63AC0">
              <w:rPr>
                <w:b/>
                <w:bCs/>
              </w:rPr>
              <w:t>2018</w:t>
            </w:r>
          </w:p>
        </w:tc>
        <w:tc>
          <w:tcPr>
            <w:tcW w:w="406" w:type="pct"/>
            <w:noWrap/>
            <w:hideMark/>
          </w:tcPr>
          <w:p w14:paraId="32D8D1FA" w14:textId="77777777" w:rsidR="00BA1E77" w:rsidRPr="00D63AC0" w:rsidRDefault="00BA1E77" w:rsidP="00C70998">
            <w:pPr>
              <w:pStyle w:val="JRCTableBoxtitle"/>
              <w:jc w:val="left"/>
              <w:cnfStyle w:val="100000000000" w:firstRow="1" w:lastRow="0" w:firstColumn="0" w:lastColumn="0" w:oddVBand="0" w:evenVBand="0" w:oddHBand="0" w:evenHBand="0" w:firstRowFirstColumn="0" w:firstRowLastColumn="0" w:lastRowFirstColumn="0" w:lastRowLastColumn="0"/>
              <w:rPr>
                <w:b/>
                <w:bCs/>
              </w:rPr>
            </w:pPr>
            <w:r w:rsidRPr="00D63AC0">
              <w:rPr>
                <w:b/>
                <w:bCs/>
              </w:rPr>
              <w:t>2019</w:t>
            </w:r>
          </w:p>
        </w:tc>
        <w:tc>
          <w:tcPr>
            <w:tcW w:w="406" w:type="pct"/>
            <w:noWrap/>
            <w:hideMark/>
          </w:tcPr>
          <w:p w14:paraId="42FC3831" w14:textId="77777777" w:rsidR="00BA1E77" w:rsidRPr="00D63AC0" w:rsidRDefault="00BA1E77" w:rsidP="00C70998">
            <w:pPr>
              <w:pStyle w:val="JRCTableBoxtitle"/>
              <w:jc w:val="left"/>
              <w:cnfStyle w:val="100000000000" w:firstRow="1" w:lastRow="0" w:firstColumn="0" w:lastColumn="0" w:oddVBand="0" w:evenVBand="0" w:oddHBand="0" w:evenHBand="0" w:firstRowFirstColumn="0" w:firstRowLastColumn="0" w:lastRowFirstColumn="0" w:lastRowLastColumn="0"/>
              <w:rPr>
                <w:b/>
                <w:bCs/>
              </w:rPr>
            </w:pPr>
            <w:r w:rsidRPr="00D63AC0">
              <w:rPr>
                <w:b/>
                <w:bCs/>
              </w:rPr>
              <w:t>2020</w:t>
            </w:r>
          </w:p>
        </w:tc>
        <w:tc>
          <w:tcPr>
            <w:tcW w:w="406" w:type="pct"/>
            <w:noWrap/>
            <w:hideMark/>
          </w:tcPr>
          <w:p w14:paraId="61047781" w14:textId="77777777" w:rsidR="00BA1E77" w:rsidRPr="00D63AC0" w:rsidRDefault="00BA1E77" w:rsidP="00C70998">
            <w:pPr>
              <w:pStyle w:val="JRCTableBoxtitle"/>
              <w:jc w:val="left"/>
              <w:cnfStyle w:val="100000000000" w:firstRow="1" w:lastRow="0" w:firstColumn="0" w:lastColumn="0" w:oddVBand="0" w:evenVBand="0" w:oddHBand="0" w:evenHBand="0" w:firstRowFirstColumn="0" w:firstRowLastColumn="0" w:lastRowFirstColumn="0" w:lastRowLastColumn="0"/>
              <w:rPr>
                <w:b/>
                <w:bCs/>
              </w:rPr>
            </w:pPr>
            <w:r w:rsidRPr="00D63AC0">
              <w:rPr>
                <w:b/>
                <w:bCs/>
              </w:rPr>
              <w:t>2021</w:t>
            </w:r>
          </w:p>
        </w:tc>
        <w:tc>
          <w:tcPr>
            <w:tcW w:w="406" w:type="pct"/>
            <w:noWrap/>
            <w:hideMark/>
          </w:tcPr>
          <w:p w14:paraId="0369898D" w14:textId="77777777" w:rsidR="00BA1E77" w:rsidRPr="00D63AC0" w:rsidRDefault="00BA1E77" w:rsidP="00C70998">
            <w:pPr>
              <w:pStyle w:val="JRCTableBoxtitle"/>
              <w:jc w:val="left"/>
              <w:cnfStyle w:val="100000000000" w:firstRow="1" w:lastRow="0" w:firstColumn="0" w:lastColumn="0" w:oddVBand="0" w:evenVBand="0" w:oddHBand="0" w:evenHBand="0" w:firstRowFirstColumn="0" w:firstRowLastColumn="0" w:lastRowFirstColumn="0" w:lastRowLastColumn="0"/>
              <w:rPr>
                <w:b/>
                <w:bCs/>
              </w:rPr>
            </w:pPr>
            <w:r w:rsidRPr="00D63AC0">
              <w:rPr>
                <w:b/>
                <w:bCs/>
              </w:rPr>
              <w:t>2022</w:t>
            </w:r>
          </w:p>
        </w:tc>
        <w:tc>
          <w:tcPr>
            <w:tcW w:w="410" w:type="pct"/>
            <w:noWrap/>
            <w:hideMark/>
          </w:tcPr>
          <w:p w14:paraId="02CE991A" w14:textId="77777777" w:rsidR="00BA1E77" w:rsidRPr="00D63AC0" w:rsidRDefault="00BA1E77" w:rsidP="00C70998">
            <w:pPr>
              <w:pStyle w:val="JRCTableBoxtitle"/>
              <w:jc w:val="left"/>
              <w:cnfStyle w:val="100000000000" w:firstRow="1" w:lastRow="0" w:firstColumn="0" w:lastColumn="0" w:oddVBand="0" w:evenVBand="0" w:oddHBand="0" w:evenHBand="0" w:firstRowFirstColumn="0" w:firstRowLastColumn="0" w:lastRowFirstColumn="0" w:lastRowLastColumn="0"/>
              <w:rPr>
                <w:b/>
                <w:bCs/>
              </w:rPr>
            </w:pPr>
            <w:r w:rsidRPr="00D63AC0">
              <w:rPr>
                <w:b/>
                <w:bCs/>
              </w:rPr>
              <w:t>2023</w:t>
            </w:r>
          </w:p>
        </w:tc>
      </w:tr>
      <w:tr w:rsidR="00BA1E77" w:rsidRPr="00D63AC0" w14:paraId="4712B211" w14:textId="77777777" w:rsidTr="00C70998">
        <w:trPr>
          <w:trHeight w:val="288"/>
        </w:trPr>
        <w:tc>
          <w:tcPr>
            <w:cnfStyle w:val="001000000000" w:firstRow="0" w:lastRow="0" w:firstColumn="1" w:lastColumn="0" w:oddVBand="0" w:evenVBand="0" w:oddHBand="0" w:evenHBand="0" w:firstRowFirstColumn="0" w:firstRowLastColumn="0" w:lastRowFirstColumn="0" w:lastRowLastColumn="0"/>
            <w:tcW w:w="858" w:type="pct"/>
            <w:noWrap/>
            <w:hideMark/>
          </w:tcPr>
          <w:p w14:paraId="4ADE124B" w14:textId="77777777" w:rsidR="00BA1E77" w:rsidRPr="00D63AC0" w:rsidRDefault="00BA1E77" w:rsidP="00C70998">
            <w:pPr>
              <w:pStyle w:val="JRCTabletext10pt"/>
            </w:pPr>
            <w:r w:rsidRPr="00D63AC0">
              <w:t>New companies</w:t>
            </w:r>
          </w:p>
        </w:tc>
        <w:tc>
          <w:tcPr>
            <w:tcW w:w="484" w:type="pct"/>
            <w:noWrap/>
            <w:hideMark/>
          </w:tcPr>
          <w:p w14:paraId="4470A97A" w14:textId="77777777" w:rsidR="00BA1E77" w:rsidRPr="00D63AC0"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D63AC0">
              <w:t>3</w:t>
            </w:r>
            <w:r>
              <w:t>,</w:t>
            </w:r>
            <w:r w:rsidRPr="00D63AC0">
              <w:t>382</w:t>
            </w:r>
          </w:p>
        </w:tc>
        <w:tc>
          <w:tcPr>
            <w:tcW w:w="406" w:type="pct"/>
            <w:noWrap/>
            <w:hideMark/>
          </w:tcPr>
          <w:p w14:paraId="31228C2E" w14:textId="77777777" w:rsidR="00BA1E77" w:rsidRPr="00D63AC0"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D63AC0">
              <w:t>3</w:t>
            </w:r>
            <w:r>
              <w:t>,</w:t>
            </w:r>
            <w:r w:rsidRPr="00D63AC0">
              <w:t>864</w:t>
            </w:r>
          </w:p>
        </w:tc>
        <w:tc>
          <w:tcPr>
            <w:tcW w:w="406" w:type="pct"/>
            <w:noWrap/>
            <w:hideMark/>
          </w:tcPr>
          <w:p w14:paraId="156898E8" w14:textId="77777777" w:rsidR="00BA1E77" w:rsidRPr="00D63AC0"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D63AC0">
              <w:t>3</w:t>
            </w:r>
            <w:r>
              <w:t>,</w:t>
            </w:r>
            <w:r w:rsidRPr="00D63AC0">
              <w:t>703</w:t>
            </w:r>
          </w:p>
        </w:tc>
        <w:tc>
          <w:tcPr>
            <w:tcW w:w="406" w:type="pct"/>
            <w:noWrap/>
            <w:hideMark/>
          </w:tcPr>
          <w:p w14:paraId="68BEA7BD" w14:textId="77777777" w:rsidR="00BA1E77" w:rsidRPr="00D63AC0"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D63AC0">
              <w:t>2</w:t>
            </w:r>
            <w:r>
              <w:t>,</w:t>
            </w:r>
            <w:r w:rsidRPr="00D63AC0">
              <w:t>154</w:t>
            </w:r>
          </w:p>
        </w:tc>
        <w:tc>
          <w:tcPr>
            <w:tcW w:w="406" w:type="pct"/>
            <w:noWrap/>
            <w:hideMark/>
          </w:tcPr>
          <w:p w14:paraId="7535E4FC" w14:textId="77777777" w:rsidR="00BA1E77" w:rsidRPr="00D63AC0"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D63AC0">
              <w:t>3</w:t>
            </w:r>
            <w:r>
              <w:t>,</w:t>
            </w:r>
            <w:r w:rsidRPr="00D63AC0">
              <w:t>780</w:t>
            </w:r>
          </w:p>
        </w:tc>
        <w:tc>
          <w:tcPr>
            <w:tcW w:w="406" w:type="pct"/>
            <w:noWrap/>
            <w:hideMark/>
          </w:tcPr>
          <w:p w14:paraId="2F9E83E5" w14:textId="77777777" w:rsidR="00BA1E77" w:rsidRPr="00D63AC0"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D63AC0">
              <w:t>3</w:t>
            </w:r>
            <w:r>
              <w:t>,</w:t>
            </w:r>
            <w:r w:rsidRPr="00D63AC0">
              <w:t>887</w:t>
            </w:r>
          </w:p>
        </w:tc>
        <w:tc>
          <w:tcPr>
            <w:tcW w:w="406" w:type="pct"/>
            <w:noWrap/>
            <w:hideMark/>
          </w:tcPr>
          <w:p w14:paraId="6F36B4D7" w14:textId="77777777" w:rsidR="00BA1E77" w:rsidRPr="00D63AC0"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D63AC0">
              <w:t>3</w:t>
            </w:r>
            <w:r>
              <w:t>,</w:t>
            </w:r>
            <w:r w:rsidRPr="00D63AC0">
              <w:t>758</w:t>
            </w:r>
          </w:p>
        </w:tc>
        <w:tc>
          <w:tcPr>
            <w:tcW w:w="406" w:type="pct"/>
            <w:noWrap/>
            <w:hideMark/>
          </w:tcPr>
          <w:p w14:paraId="20C49557" w14:textId="77777777" w:rsidR="00BA1E77" w:rsidRPr="00D63AC0"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D63AC0">
              <w:t>4</w:t>
            </w:r>
            <w:r>
              <w:t>,</w:t>
            </w:r>
            <w:r w:rsidRPr="00D63AC0">
              <w:t>531</w:t>
            </w:r>
          </w:p>
        </w:tc>
        <w:tc>
          <w:tcPr>
            <w:tcW w:w="406" w:type="pct"/>
            <w:noWrap/>
            <w:hideMark/>
          </w:tcPr>
          <w:p w14:paraId="30A2008D" w14:textId="77777777" w:rsidR="00BA1E77" w:rsidRPr="00D63AC0"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D63AC0">
              <w:t>8</w:t>
            </w:r>
            <w:r>
              <w:t>,</w:t>
            </w:r>
            <w:r w:rsidRPr="00D63AC0">
              <w:t>933</w:t>
            </w:r>
          </w:p>
        </w:tc>
        <w:tc>
          <w:tcPr>
            <w:tcW w:w="410" w:type="pct"/>
            <w:noWrap/>
            <w:hideMark/>
          </w:tcPr>
          <w:p w14:paraId="51FBE1CF" w14:textId="77777777" w:rsidR="00BA1E77" w:rsidRPr="00D63AC0"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D63AC0">
              <w:t>8</w:t>
            </w:r>
            <w:r>
              <w:t>,</w:t>
            </w:r>
            <w:r w:rsidRPr="00D63AC0">
              <w:t>827</w:t>
            </w:r>
          </w:p>
        </w:tc>
      </w:tr>
    </w:tbl>
    <w:p w14:paraId="33461749" w14:textId="77777777" w:rsidR="00BA1E77" w:rsidRPr="00FE3A4B" w:rsidRDefault="00BA1E77" w:rsidP="00BA1E77">
      <w:pPr>
        <w:pStyle w:val="JRCTablesource"/>
      </w:pPr>
      <w:r w:rsidRPr="00FE3A4B">
        <w:rPr>
          <w:b/>
          <w:bCs/>
        </w:rPr>
        <w:t>Source:</w:t>
      </w:r>
      <w:r w:rsidRPr="00FE3A4B">
        <w:t xml:space="preserve"> </w:t>
      </w:r>
      <w:proofErr w:type="spellStart"/>
      <w:r w:rsidRPr="00FE3A4B">
        <w:t>Monstat</w:t>
      </w:r>
      <w:proofErr w:type="spellEnd"/>
      <w:r w:rsidRPr="00FE3A4B">
        <w:t xml:space="preserve"> data</w:t>
      </w:r>
    </w:p>
    <w:p w14:paraId="22F80E95" w14:textId="77777777" w:rsidR="00BA1E77" w:rsidRPr="00DB00D1" w:rsidRDefault="00BA1E77" w:rsidP="00BA1E77">
      <w:pPr>
        <w:pStyle w:val="JRCText"/>
        <w:spacing w:line="276" w:lineRule="auto"/>
      </w:pPr>
      <w:r>
        <w:t>T</w:t>
      </w:r>
      <w:r w:rsidRPr="00DB00D1">
        <w:t xml:space="preserve">he three most dynamics sectors, considering the birth of new ventures appears to be the </w:t>
      </w:r>
      <w:r w:rsidRPr="00DB00D1">
        <w:rPr>
          <w:i/>
          <w:iCs/>
        </w:rPr>
        <w:t>702 – Management consultancy activities</w:t>
      </w:r>
      <w:r w:rsidRPr="00DB00D1">
        <w:t xml:space="preserve">; </w:t>
      </w:r>
      <w:r w:rsidRPr="00DB00D1">
        <w:rPr>
          <w:i/>
          <w:iCs/>
        </w:rPr>
        <w:t>412 – Construction of residential and non-residential buildings</w:t>
      </w:r>
      <w:r w:rsidRPr="00DB00D1">
        <w:t xml:space="preserve"> and </w:t>
      </w:r>
      <w:r w:rsidRPr="00DB00D1">
        <w:rPr>
          <w:i/>
          <w:iCs/>
        </w:rPr>
        <w:t>561</w:t>
      </w:r>
      <w:r>
        <w:rPr>
          <w:i/>
          <w:iCs/>
        </w:rPr>
        <w:t xml:space="preserve"> </w:t>
      </w:r>
      <w:r w:rsidRPr="00DB00D1">
        <w:rPr>
          <w:i/>
          <w:iCs/>
        </w:rPr>
        <w:t>– Restaurants and mobile food service activities</w:t>
      </w:r>
      <w:r w:rsidRPr="00DB00D1">
        <w:t>.</w:t>
      </w:r>
    </w:p>
    <w:p w14:paraId="21543369" w14:textId="77777777" w:rsidR="00BA1E77" w:rsidRPr="00DB00D1" w:rsidRDefault="00BA1E77" w:rsidP="00BA1E77">
      <w:pPr>
        <w:pStyle w:val="JRCFigurecaption"/>
      </w:pPr>
      <w:bookmarkStart w:id="25" w:name="_Toc220939003"/>
      <w:bookmarkStart w:id="26" w:name="_Toc221271686"/>
      <w:r w:rsidRPr="000E2296">
        <w:rPr>
          <w:b/>
          <w:bCs/>
        </w:rPr>
        <w:lastRenderedPageBreak/>
        <w:t xml:space="preserve">Figure </w:t>
      </w:r>
      <w:r w:rsidRPr="000E2296">
        <w:rPr>
          <w:b/>
          <w:bCs/>
        </w:rPr>
        <w:fldChar w:fldCharType="begin"/>
      </w:r>
      <w:r w:rsidRPr="000E2296">
        <w:rPr>
          <w:b/>
          <w:bCs/>
        </w:rPr>
        <w:instrText xml:space="preserve"> SEQ Figure \* ARABIC </w:instrText>
      </w:r>
      <w:r w:rsidRPr="000E2296">
        <w:rPr>
          <w:b/>
          <w:bCs/>
        </w:rPr>
        <w:fldChar w:fldCharType="separate"/>
      </w:r>
      <w:r>
        <w:rPr>
          <w:b/>
          <w:bCs/>
          <w:noProof/>
        </w:rPr>
        <w:t>7</w:t>
      </w:r>
      <w:r w:rsidRPr="000E2296">
        <w:rPr>
          <w:b/>
          <w:bCs/>
        </w:rPr>
        <w:fldChar w:fldCharType="end"/>
      </w:r>
      <w:r>
        <w:rPr>
          <w:b/>
          <w:bCs/>
        </w:rPr>
        <w:t>.</w:t>
      </w:r>
      <w:r w:rsidRPr="00DB00D1">
        <w:t xml:space="preserve"> Most dynamic 3-digit sectors in terms of new firms (2017-2019)</w:t>
      </w:r>
      <w:bookmarkEnd w:id="25"/>
      <w:bookmarkEnd w:id="26"/>
    </w:p>
    <w:p w14:paraId="36450F59" w14:textId="77777777" w:rsidR="00BA1E77" w:rsidRPr="00DB00D1" w:rsidRDefault="00BA1E77" w:rsidP="00BA1E77">
      <w:pPr>
        <w:pStyle w:val="JRCFigureplaceholder"/>
      </w:pPr>
      <w:r w:rsidRPr="00DB00D1">
        <w:rPr>
          <w:noProof/>
        </w:rPr>
        <w:drawing>
          <wp:inline distT="0" distB="0" distL="0" distR="0" wp14:anchorId="705412CF" wp14:editId="646280F0">
            <wp:extent cx="6120000" cy="3240000"/>
            <wp:effectExtent l="0" t="0" r="14605" b="11430"/>
            <wp:docPr id="366382714" name="Grafico 1">
              <a:extLst xmlns:a="http://schemas.openxmlformats.org/drawingml/2006/main">
                <a:ext uri="{FF2B5EF4-FFF2-40B4-BE49-F238E27FC236}">
                  <a16:creationId xmlns:a16="http://schemas.microsoft.com/office/drawing/2014/main" id="{54F4FB81-B1D2-9834-C893-CBD6701D343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126A98C2" w14:textId="77777777" w:rsidR="00BA1E77" w:rsidRPr="00DB00D1" w:rsidRDefault="00BA1E77" w:rsidP="00BA1E77">
      <w:pPr>
        <w:pStyle w:val="JRCFiguresource"/>
      </w:pPr>
      <w:r w:rsidRPr="007A24C3">
        <w:rPr>
          <w:b/>
          <w:bCs/>
          <w:szCs w:val="20"/>
        </w:rPr>
        <w:t>Source:</w:t>
      </w:r>
      <w:r w:rsidRPr="00DB00D1">
        <w:t xml:space="preserve"> </w:t>
      </w:r>
      <w:r>
        <w:rPr>
          <w:szCs w:val="20"/>
        </w:rPr>
        <w:t>A</w:t>
      </w:r>
      <w:r w:rsidRPr="00DB00D1">
        <w:rPr>
          <w:szCs w:val="20"/>
        </w:rPr>
        <w:t>uthor</w:t>
      </w:r>
      <w:r>
        <w:rPr>
          <w:szCs w:val="20"/>
        </w:rPr>
        <w:t>s</w:t>
      </w:r>
      <w:r w:rsidRPr="00DB00D1">
        <w:rPr>
          <w:szCs w:val="20"/>
        </w:rPr>
        <w:t xml:space="preserve">’ </w:t>
      </w:r>
      <w:r w:rsidRPr="00435544">
        <w:rPr>
          <w:iCs/>
          <w:sz w:val="20"/>
          <w:szCs w:val="20"/>
        </w:rPr>
        <w:t>elaboration</w:t>
      </w:r>
      <w:r w:rsidRPr="00DB00D1">
        <w:rPr>
          <w:szCs w:val="20"/>
        </w:rPr>
        <w:t xml:space="preserve"> on ORBIS </w:t>
      </w:r>
      <w:r w:rsidRPr="00DB00D1">
        <w:t>– data extracted in September 2024</w:t>
      </w:r>
    </w:p>
    <w:p w14:paraId="1E7312A3" w14:textId="77777777" w:rsidR="00BA1E77" w:rsidRPr="00DB00D1" w:rsidRDefault="00BA1E77" w:rsidP="00BA1E77">
      <w:pPr>
        <w:pStyle w:val="JRCText"/>
        <w:spacing w:line="276" w:lineRule="auto"/>
      </w:pPr>
      <w:r w:rsidRPr="00DB00D1">
        <w:t xml:space="preserve">Finally, following the perspective of sales, the sectors with highest levels are </w:t>
      </w:r>
      <w:r w:rsidRPr="00DB00D1">
        <w:rPr>
          <w:i/>
          <w:iCs/>
        </w:rPr>
        <w:t>469 – non-specialised wholesale trade</w:t>
      </w:r>
      <w:r w:rsidRPr="00DB00D1">
        <w:t xml:space="preserve">; </w:t>
      </w:r>
      <w:r w:rsidRPr="00DB00D1">
        <w:rPr>
          <w:i/>
          <w:iCs/>
        </w:rPr>
        <w:t>35</w:t>
      </w:r>
      <w:r>
        <w:rPr>
          <w:i/>
          <w:iCs/>
        </w:rPr>
        <w:t xml:space="preserve">1 </w:t>
      </w:r>
      <w:r w:rsidRPr="00DB00D1">
        <w:rPr>
          <w:i/>
          <w:iCs/>
        </w:rPr>
        <w:t>–</w:t>
      </w:r>
      <w:r>
        <w:rPr>
          <w:i/>
          <w:iCs/>
        </w:rPr>
        <w:t xml:space="preserve"> </w:t>
      </w:r>
      <w:r w:rsidRPr="00DB00D1">
        <w:rPr>
          <w:i/>
          <w:iCs/>
        </w:rPr>
        <w:t>Electric power generation, transmission and distribution</w:t>
      </w:r>
      <w:r w:rsidRPr="00DB00D1">
        <w:t xml:space="preserve"> and </w:t>
      </w:r>
      <w:r w:rsidRPr="00DB00D1">
        <w:rPr>
          <w:i/>
          <w:iCs/>
        </w:rPr>
        <w:t>Retail sale in non-specialised stores</w:t>
      </w:r>
      <w:r w:rsidRPr="00DB00D1">
        <w:t>.</w:t>
      </w:r>
    </w:p>
    <w:p w14:paraId="3F9EA79E" w14:textId="77777777" w:rsidR="00BA1E77" w:rsidRPr="00DB00D1" w:rsidRDefault="00BA1E77" w:rsidP="00BA1E77">
      <w:pPr>
        <w:pStyle w:val="JRCFigurecaption"/>
      </w:pPr>
      <w:bookmarkStart w:id="27" w:name="_Toc220939004"/>
      <w:bookmarkStart w:id="28" w:name="_Toc221271687"/>
      <w:r w:rsidRPr="000E2296">
        <w:rPr>
          <w:b/>
          <w:bCs/>
        </w:rPr>
        <w:t xml:space="preserve">Figure </w:t>
      </w:r>
      <w:r w:rsidRPr="000E2296">
        <w:rPr>
          <w:b/>
          <w:bCs/>
        </w:rPr>
        <w:fldChar w:fldCharType="begin"/>
      </w:r>
      <w:r w:rsidRPr="000E2296">
        <w:rPr>
          <w:b/>
          <w:bCs/>
        </w:rPr>
        <w:instrText xml:space="preserve"> SEQ Figure \* ARABIC </w:instrText>
      </w:r>
      <w:r w:rsidRPr="000E2296">
        <w:rPr>
          <w:b/>
          <w:bCs/>
        </w:rPr>
        <w:fldChar w:fldCharType="separate"/>
      </w:r>
      <w:r>
        <w:rPr>
          <w:b/>
          <w:bCs/>
          <w:noProof/>
        </w:rPr>
        <w:t>8</w:t>
      </w:r>
      <w:r w:rsidRPr="000E2296">
        <w:rPr>
          <w:b/>
          <w:bCs/>
        </w:rPr>
        <w:fldChar w:fldCharType="end"/>
      </w:r>
      <w:r>
        <w:rPr>
          <w:b/>
          <w:bCs/>
        </w:rPr>
        <w:t>.</w:t>
      </w:r>
      <w:r w:rsidRPr="00DB00D1">
        <w:t xml:space="preserve"> Sales by industry – in percentage (2018-2022)</w:t>
      </w:r>
      <w:bookmarkEnd w:id="27"/>
      <w:bookmarkEnd w:id="28"/>
    </w:p>
    <w:p w14:paraId="44913F46" w14:textId="77777777" w:rsidR="00BA1E77" w:rsidRPr="00DB00D1" w:rsidRDefault="00BA1E77" w:rsidP="00BA1E77">
      <w:pPr>
        <w:pStyle w:val="JRCFigureplaceholder"/>
      </w:pPr>
      <w:r w:rsidRPr="00FB46CE">
        <w:rPr>
          <w:noProof/>
        </w:rPr>
        <w:drawing>
          <wp:inline distT="0" distB="0" distL="0" distR="0" wp14:anchorId="31F96D33" wp14:editId="48DF1A97">
            <wp:extent cx="6120000" cy="3348000"/>
            <wp:effectExtent l="0" t="0" r="14605" b="17780"/>
            <wp:docPr id="1124503570" name="Grafico 1">
              <a:extLst xmlns:a="http://schemas.openxmlformats.org/drawingml/2006/main">
                <a:ext uri="{FF2B5EF4-FFF2-40B4-BE49-F238E27FC236}">
                  <a16:creationId xmlns:a16="http://schemas.microsoft.com/office/drawing/2014/main" id="{8D8CD10D-69B7-7BC4-6B68-02CBFF84CA1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13354955" w14:textId="77777777" w:rsidR="00BA1E77" w:rsidRPr="00DB00D1" w:rsidRDefault="00BA1E77" w:rsidP="00BA1E77">
      <w:pPr>
        <w:pStyle w:val="JRCFiguresource"/>
      </w:pPr>
      <w:r w:rsidRPr="00E54545">
        <w:rPr>
          <w:b/>
          <w:bCs/>
          <w:szCs w:val="20"/>
        </w:rPr>
        <w:t>Source:</w:t>
      </w:r>
      <w:r w:rsidRPr="00DB00D1">
        <w:t xml:space="preserve"> </w:t>
      </w:r>
      <w:r>
        <w:t>A</w:t>
      </w:r>
      <w:r w:rsidRPr="00DB00D1">
        <w:rPr>
          <w:szCs w:val="20"/>
        </w:rPr>
        <w:t xml:space="preserve">uthor’s elaboration on ORBIS </w:t>
      </w:r>
      <w:r w:rsidRPr="00DB00D1">
        <w:t>– data extracted in September 2024</w:t>
      </w:r>
    </w:p>
    <w:p w14:paraId="7E4B00BE" w14:textId="77777777" w:rsidR="00BA1E77" w:rsidRPr="00A25A25" w:rsidRDefault="00BA1E77" w:rsidP="00BA1E77">
      <w:pPr>
        <w:pStyle w:val="JRCLevel-2title"/>
      </w:pPr>
      <w:bookmarkStart w:id="29" w:name="_Toc221016424"/>
      <w:r w:rsidRPr="00A25A25">
        <w:lastRenderedPageBreak/>
        <w:t>Economic Potential</w:t>
      </w:r>
      <w:bookmarkEnd w:id="29"/>
    </w:p>
    <w:p w14:paraId="1E686213" w14:textId="77777777" w:rsidR="00BA1E77" w:rsidRPr="00A25A25" w:rsidRDefault="00BA1E77" w:rsidP="00BA1E77">
      <w:pPr>
        <w:pStyle w:val="JRCLevel-3title"/>
      </w:pPr>
      <w:bookmarkStart w:id="30" w:name="_Toc221016425"/>
      <w:r w:rsidRPr="00A25A25">
        <w:t>Methodology</w:t>
      </w:r>
      <w:bookmarkEnd w:id="30"/>
    </w:p>
    <w:p w14:paraId="25873FDB" w14:textId="77777777" w:rsidR="00BA1E77" w:rsidRPr="00DB00D1" w:rsidRDefault="00BA1E77" w:rsidP="00BA1E77">
      <w:pPr>
        <w:pStyle w:val="JRCText"/>
        <w:spacing w:line="276" w:lineRule="auto"/>
      </w:pPr>
      <w:r w:rsidRPr="00DB00D1">
        <w:t>The mapping exercise is represented by an identification of industries with a current economic potential which are already highly specialised using the location quotient indicator (LQ) and that present a relatively high presence in the country defined as critical mass (CM).</w:t>
      </w:r>
    </w:p>
    <w:p w14:paraId="50A97CF0" w14:textId="77777777" w:rsidR="00BA1E77" w:rsidRPr="00DB00D1" w:rsidRDefault="00BA1E77" w:rsidP="00BA1E77">
      <w:pPr>
        <w:pStyle w:val="JRCText"/>
        <w:spacing w:line="276" w:lineRule="auto"/>
      </w:pPr>
      <w:r w:rsidRPr="00DB00D1">
        <w:t xml:space="preserve">Industries with a current economic potential are established industries in which Montenegro is already specialised compared to the EU-27 and that are not too small. Identifying the industries where the country has a specialisation and where there is a minimum value of critical mass, is a first step to identify industries with the potential to contribute to the country’s overall economic </w:t>
      </w:r>
      <w:r>
        <w:t>development</w:t>
      </w:r>
      <w:r w:rsidRPr="00DB00D1">
        <w:t>. These industries can be identified by examining their overlap with the other two potentials, scientific and innovative, and through a detailed qualitative analysis, which can provide a clearer projection to complement this quantitative analysis.</w:t>
      </w:r>
    </w:p>
    <w:p w14:paraId="112AEEDD" w14:textId="77777777" w:rsidR="00BA1E77" w:rsidRPr="00DB00D1" w:rsidRDefault="00BA1E77" w:rsidP="00BA1E77">
      <w:pPr>
        <w:pStyle w:val="JRCText"/>
        <w:spacing w:before="120" w:line="276" w:lineRule="auto"/>
      </w:pPr>
      <w:r w:rsidRPr="00DB00D1">
        <w:t>The Economic Potential has been analysed at the NACE 2-digit level for the year 2023, using indicators based on the number of employees as a measure of size (such as critical mass and location quotient) using data from EUROSTAT for the values at the EU</w:t>
      </w:r>
      <w:r>
        <w:t>-</w:t>
      </w:r>
      <w:r w:rsidRPr="00DB00D1">
        <w:t xml:space="preserve">27 level and data provided by </w:t>
      </w:r>
      <w:proofErr w:type="spellStart"/>
      <w:r w:rsidRPr="00DB00D1">
        <w:t>Monstat</w:t>
      </w:r>
      <w:proofErr w:type="spellEnd"/>
      <w:r w:rsidRPr="00DB00D1">
        <w:t xml:space="preserve"> for Montenegro. Specifically, the following indicators have been calculated. </w:t>
      </w:r>
    </w:p>
    <w:p w14:paraId="371A4870" w14:textId="77777777" w:rsidR="00BA1E77" w:rsidRPr="00A25A25" w:rsidRDefault="00BA1E77" w:rsidP="00BA1E77">
      <w:pPr>
        <w:pStyle w:val="JRCLevel-3title"/>
      </w:pPr>
      <w:bookmarkStart w:id="31" w:name="_Toc221016426"/>
      <w:r w:rsidRPr="00A25A25">
        <w:t>Results</w:t>
      </w:r>
      <w:bookmarkEnd w:id="31"/>
    </w:p>
    <w:p w14:paraId="0659B45A" w14:textId="77777777" w:rsidR="00BA1E77" w:rsidRPr="00DB00D1" w:rsidRDefault="00BA1E77" w:rsidP="00BA1E77">
      <w:pPr>
        <w:pStyle w:val="JRCText"/>
        <w:spacing w:line="276" w:lineRule="auto"/>
      </w:pPr>
      <w:r w:rsidRPr="00DB00D1">
        <w:t>The results that can be drawn from the mapping exercise identify those industries presenting both a</w:t>
      </w:r>
      <w:r>
        <w:rPr>
          <w:rFonts w:ascii="Calibri" w:hAnsi="Calibri" w:cs="Calibri"/>
        </w:rPr>
        <w:t> </w:t>
      </w:r>
      <w:r w:rsidRPr="00DB00D1">
        <w:t>critical mass and a specialisation in terms of employment, following are reported the results based on two different thresholds level for both indicators, the first one more narrow (LQ above 1.5 and CM above 1%) and a second one more broad (LQ 1.25 and CM 0.5%). This will help to have a picture of the sectors with an economic potential at two different levels that will be then complemented with the Scientific and</w:t>
      </w:r>
      <w:r>
        <w:rPr>
          <w:rFonts w:ascii="Calibri" w:hAnsi="Calibri" w:cs="Calibri"/>
        </w:rPr>
        <w:t> </w:t>
      </w:r>
      <w:r w:rsidRPr="00DB00D1">
        <w:t xml:space="preserve">Innovative potential to identify the </w:t>
      </w:r>
      <w:r>
        <w:t xml:space="preserve">preliminary </w:t>
      </w:r>
      <w:r w:rsidRPr="00DB00D1">
        <w:t>domains in Montenegro.</w:t>
      </w:r>
    </w:p>
    <w:p w14:paraId="3A6894FF" w14:textId="77777777" w:rsidR="00BA1E77" w:rsidRPr="00DB00D1" w:rsidRDefault="00BA1E77" w:rsidP="00BA1E77">
      <w:pPr>
        <w:pStyle w:val="JRCText"/>
      </w:pPr>
      <w:r w:rsidRPr="00DB00D1">
        <w:t>Following the narrow perspective and thus using the stricter threshold, there are 24 industries showing a</w:t>
      </w:r>
      <w:r>
        <w:rPr>
          <w:rFonts w:ascii="Calibri" w:hAnsi="Calibri" w:cs="Calibri"/>
        </w:rPr>
        <w:t> </w:t>
      </w:r>
      <w:r w:rsidRPr="00DB00D1">
        <w:t>critical mass and 24 industries that showed a specialisation. However, the industries, at the NACE2-digit, that showed both a critical mass, using the 1% threshold and a specialisation, using a LQ threshold above 1.5, are only 10.</w:t>
      </w:r>
    </w:p>
    <w:p w14:paraId="5928CC3B" w14:textId="77777777" w:rsidR="00BA1E77" w:rsidRPr="00DB00D1" w:rsidRDefault="00BA1E77" w:rsidP="00BA1E77">
      <w:pPr>
        <w:pStyle w:val="JRCText"/>
      </w:pPr>
      <w:r w:rsidRPr="00DB00D1">
        <w:t xml:space="preserve">These 10 industries are the following: </w:t>
      </w:r>
    </w:p>
    <w:p w14:paraId="0D2FEC39" w14:textId="77777777" w:rsidR="00BA1E77" w:rsidRPr="0070262C" w:rsidRDefault="00BA1E77" w:rsidP="00BA1E77">
      <w:pPr>
        <w:pStyle w:val="JRCTextbulletedlist1"/>
        <w:numPr>
          <w:ilvl w:val="0"/>
          <w:numId w:val="26"/>
        </w:numPr>
      </w:pPr>
      <w:r w:rsidRPr="0070262C">
        <w:t xml:space="preserve">D35 Electricity, gas, steam and air conditioning supply. </w:t>
      </w:r>
    </w:p>
    <w:p w14:paraId="0285F2B2" w14:textId="77777777" w:rsidR="00BA1E77" w:rsidRPr="0070262C" w:rsidRDefault="00BA1E77" w:rsidP="00BA1E77">
      <w:pPr>
        <w:pStyle w:val="JRCTextbulletedlist1"/>
        <w:numPr>
          <w:ilvl w:val="0"/>
          <w:numId w:val="26"/>
        </w:numPr>
      </w:pPr>
      <w:r w:rsidRPr="0070262C">
        <w:t xml:space="preserve">F41 Construction of buildings. </w:t>
      </w:r>
    </w:p>
    <w:p w14:paraId="67BC3BAD" w14:textId="77777777" w:rsidR="00BA1E77" w:rsidRPr="0070262C" w:rsidRDefault="00BA1E77" w:rsidP="00BA1E77">
      <w:pPr>
        <w:pStyle w:val="JRCTextbulletedlist1"/>
        <w:numPr>
          <w:ilvl w:val="0"/>
          <w:numId w:val="26"/>
        </w:numPr>
      </w:pPr>
      <w:r w:rsidRPr="0070262C">
        <w:t xml:space="preserve">F42 Civil engineering. </w:t>
      </w:r>
    </w:p>
    <w:p w14:paraId="3B4A51B6" w14:textId="77777777" w:rsidR="00BA1E77" w:rsidRPr="0070262C" w:rsidRDefault="00BA1E77" w:rsidP="00BA1E77">
      <w:pPr>
        <w:pStyle w:val="JRCTextbulletedlist1"/>
        <w:numPr>
          <w:ilvl w:val="0"/>
          <w:numId w:val="26"/>
        </w:numPr>
      </w:pPr>
      <w:r w:rsidRPr="0070262C">
        <w:t xml:space="preserve">G46 Wholesale trade, except of motor vehicles and motorcycles. </w:t>
      </w:r>
    </w:p>
    <w:p w14:paraId="2D2D993F" w14:textId="77777777" w:rsidR="00BA1E77" w:rsidRPr="0070262C" w:rsidRDefault="00BA1E77" w:rsidP="00BA1E77">
      <w:pPr>
        <w:pStyle w:val="JRCTextbulletedlist1"/>
        <w:numPr>
          <w:ilvl w:val="0"/>
          <w:numId w:val="26"/>
        </w:numPr>
      </w:pPr>
      <w:r w:rsidRPr="0070262C">
        <w:t xml:space="preserve">I55 Accommodation. </w:t>
      </w:r>
    </w:p>
    <w:p w14:paraId="495CCF77" w14:textId="77777777" w:rsidR="00BA1E77" w:rsidRPr="0070262C" w:rsidRDefault="00BA1E77" w:rsidP="00BA1E77">
      <w:pPr>
        <w:pStyle w:val="JRCTextbulletedlist1"/>
        <w:numPr>
          <w:ilvl w:val="0"/>
          <w:numId w:val="26"/>
        </w:numPr>
      </w:pPr>
      <w:r w:rsidRPr="0070262C">
        <w:t xml:space="preserve">I56 Food and beverage service activities. </w:t>
      </w:r>
    </w:p>
    <w:p w14:paraId="088FF04F" w14:textId="77777777" w:rsidR="00BA1E77" w:rsidRPr="0070262C" w:rsidRDefault="00BA1E77" w:rsidP="00BA1E77">
      <w:pPr>
        <w:pStyle w:val="JRCTextbulletedlist1"/>
        <w:numPr>
          <w:ilvl w:val="0"/>
          <w:numId w:val="26"/>
        </w:numPr>
      </w:pPr>
      <w:r w:rsidRPr="0070262C">
        <w:t xml:space="preserve">L68 Real estate activities. </w:t>
      </w:r>
    </w:p>
    <w:p w14:paraId="1502C5A4" w14:textId="77777777" w:rsidR="00BA1E77" w:rsidRPr="0070262C" w:rsidRDefault="00BA1E77" w:rsidP="00BA1E77">
      <w:pPr>
        <w:pStyle w:val="JRCTextbulletedlist1"/>
        <w:numPr>
          <w:ilvl w:val="0"/>
          <w:numId w:val="26"/>
        </w:numPr>
      </w:pPr>
      <w:r w:rsidRPr="0070262C">
        <w:t xml:space="preserve">M70 Activities of head offices; management consultancy activities. </w:t>
      </w:r>
    </w:p>
    <w:p w14:paraId="2664EE3C" w14:textId="77777777" w:rsidR="00BA1E77" w:rsidRPr="0070262C" w:rsidRDefault="00BA1E77" w:rsidP="00BA1E77">
      <w:pPr>
        <w:pStyle w:val="JRCTextbulletedlist1"/>
        <w:numPr>
          <w:ilvl w:val="0"/>
          <w:numId w:val="26"/>
        </w:numPr>
      </w:pPr>
      <w:r w:rsidRPr="0070262C">
        <w:t xml:space="preserve">N78 Employment activities. </w:t>
      </w:r>
    </w:p>
    <w:p w14:paraId="09143C7B" w14:textId="77777777" w:rsidR="00BA1E77" w:rsidRPr="0070262C" w:rsidRDefault="00BA1E77" w:rsidP="00BA1E77">
      <w:pPr>
        <w:pStyle w:val="JRCTextbulletedlist1"/>
        <w:numPr>
          <w:ilvl w:val="0"/>
          <w:numId w:val="26"/>
        </w:numPr>
      </w:pPr>
      <w:r w:rsidRPr="0070262C">
        <w:lastRenderedPageBreak/>
        <w:t xml:space="preserve">R92 Gambling and betting activities. </w:t>
      </w:r>
    </w:p>
    <w:p w14:paraId="6860F580" w14:textId="77777777" w:rsidR="00BA1E77" w:rsidRPr="00DB00D1" w:rsidRDefault="00BA1E77" w:rsidP="00BA1E77">
      <w:pPr>
        <w:pStyle w:val="bullet"/>
      </w:pPr>
      <w:r w:rsidRPr="00DB00D1">
        <w:t>While using a broader perspective, thus the less strict thresholds, there are 41 industries showing a critical mass and 27 industries that showed a specialisation. While those showing both a critical mass, using the 0.5% threshold and a specialisation, using a LQ threshold above 1.25, are only 19.</w:t>
      </w:r>
    </w:p>
    <w:p w14:paraId="6AB71FE4" w14:textId="77777777" w:rsidR="00BA1E77" w:rsidRPr="00DB00D1" w:rsidRDefault="00BA1E77" w:rsidP="00BA1E77">
      <w:pPr>
        <w:pStyle w:val="bullet"/>
      </w:pPr>
      <w:r w:rsidRPr="00DB00D1">
        <w:t xml:space="preserve">These 19 industries are the following: </w:t>
      </w:r>
    </w:p>
    <w:p w14:paraId="0E4F595B" w14:textId="77777777" w:rsidR="00BA1E77" w:rsidRPr="00DB00D1" w:rsidRDefault="00BA1E77" w:rsidP="00BA1E77">
      <w:pPr>
        <w:pStyle w:val="JRCTextbulletedlist1"/>
        <w:numPr>
          <w:ilvl w:val="0"/>
          <w:numId w:val="26"/>
        </w:numPr>
      </w:pPr>
      <w:r w:rsidRPr="00DB00D1">
        <w:t xml:space="preserve">C16 Manufacture of wood and of products of wood and cork, except furniture, manufacture of articles of straw and plaiting materials. </w:t>
      </w:r>
    </w:p>
    <w:p w14:paraId="15239E46" w14:textId="77777777" w:rsidR="00BA1E77" w:rsidRPr="00DB00D1" w:rsidRDefault="00BA1E77" w:rsidP="00BA1E77">
      <w:pPr>
        <w:pStyle w:val="JRCTextbulletedlist1"/>
        <w:numPr>
          <w:ilvl w:val="0"/>
          <w:numId w:val="26"/>
        </w:numPr>
      </w:pPr>
      <w:r w:rsidRPr="00DB00D1">
        <w:t xml:space="preserve">D35 Electricity, gas, steam and air conditioning supply. </w:t>
      </w:r>
    </w:p>
    <w:p w14:paraId="127BAF56" w14:textId="77777777" w:rsidR="00BA1E77" w:rsidRPr="00DB00D1" w:rsidRDefault="00BA1E77" w:rsidP="00BA1E77">
      <w:pPr>
        <w:pStyle w:val="JRCTextbulletedlist1"/>
        <w:numPr>
          <w:ilvl w:val="0"/>
          <w:numId w:val="26"/>
        </w:numPr>
      </w:pPr>
      <w:r w:rsidRPr="00DB00D1">
        <w:t xml:space="preserve">E36 Water collection, treatment and supply. </w:t>
      </w:r>
    </w:p>
    <w:p w14:paraId="2E0229CB" w14:textId="77777777" w:rsidR="00BA1E77" w:rsidRPr="00DB00D1" w:rsidRDefault="00BA1E77" w:rsidP="00BA1E77">
      <w:pPr>
        <w:pStyle w:val="JRCTextbulletedlist1"/>
        <w:numPr>
          <w:ilvl w:val="0"/>
          <w:numId w:val="26"/>
        </w:numPr>
      </w:pPr>
      <w:r w:rsidRPr="00DB00D1">
        <w:t xml:space="preserve">E38 Waste collection, treatment and disposal activities; materials recovery. </w:t>
      </w:r>
    </w:p>
    <w:p w14:paraId="240A2963" w14:textId="77777777" w:rsidR="00BA1E77" w:rsidRPr="00DB00D1" w:rsidRDefault="00BA1E77" w:rsidP="00BA1E77">
      <w:pPr>
        <w:pStyle w:val="JRCTextbulletedlist1"/>
        <w:numPr>
          <w:ilvl w:val="0"/>
          <w:numId w:val="26"/>
        </w:numPr>
      </w:pPr>
      <w:r w:rsidRPr="00DB00D1">
        <w:t xml:space="preserve">F41 Construction of buildings. </w:t>
      </w:r>
    </w:p>
    <w:p w14:paraId="34E2903C" w14:textId="77777777" w:rsidR="00BA1E77" w:rsidRPr="00DB00D1" w:rsidRDefault="00BA1E77" w:rsidP="00BA1E77">
      <w:pPr>
        <w:pStyle w:val="JRCTextbulletedlist1"/>
        <w:numPr>
          <w:ilvl w:val="0"/>
          <w:numId w:val="26"/>
        </w:numPr>
      </w:pPr>
      <w:r w:rsidRPr="00DB00D1">
        <w:t xml:space="preserve">F42 Civil engineering. </w:t>
      </w:r>
    </w:p>
    <w:p w14:paraId="72C41C65" w14:textId="77777777" w:rsidR="00BA1E77" w:rsidRPr="00DB00D1" w:rsidRDefault="00BA1E77" w:rsidP="00BA1E77">
      <w:pPr>
        <w:pStyle w:val="JRCTextbulletedlist1"/>
        <w:numPr>
          <w:ilvl w:val="0"/>
          <w:numId w:val="26"/>
        </w:numPr>
      </w:pPr>
      <w:r w:rsidRPr="00DB00D1">
        <w:t xml:space="preserve">G46 Wholesale trade, except of motor vehicles and motorcycles. </w:t>
      </w:r>
    </w:p>
    <w:p w14:paraId="68823D49" w14:textId="77777777" w:rsidR="00BA1E77" w:rsidRPr="00DB00D1" w:rsidRDefault="00BA1E77" w:rsidP="00BA1E77">
      <w:pPr>
        <w:pStyle w:val="JRCTextbulletedlist1"/>
        <w:numPr>
          <w:ilvl w:val="0"/>
          <w:numId w:val="26"/>
        </w:numPr>
      </w:pPr>
      <w:r w:rsidRPr="00DB00D1">
        <w:t xml:space="preserve">I55 Accommodation. </w:t>
      </w:r>
    </w:p>
    <w:p w14:paraId="6775F741" w14:textId="77777777" w:rsidR="00BA1E77" w:rsidRPr="00DB00D1" w:rsidRDefault="00BA1E77" w:rsidP="00BA1E77">
      <w:pPr>
        <w:pStyle w:val="JRCTextbulletedlist1"/>
        <w:numPr>
          <w:ilvl w:val="0"/>
          <w:numId w:val="26"/>
        </w:numPr>
      </w:pPr>
      <w:r w:rsidRPr="00DB00D1">
        <w:t xml:space="preserve">I56 Food and beverage service activities. </w:t>
      </w:r>
    </w:p>
    <w:p w14:paraId="339B5B5F" w14:textId="77777777" w:rsidR="00BA1E77" w:rsidRPr="00DB00D1" w:rsidRDefault="00BA1E77" w:rsidP="00BA1E77">
      <w:pPr>
        <w:pStyle w:val="JRCTextbulletedlist1"/>
        <w:numPr>
          <w:ilvl w:val="0"/>
          <w:numId w:val="26"/>
        </w:numPr>
      </w:pPr>
      <w:r w:rsidRPr="00DB00D1">
        <w:t xml:space="preserve">J60 Programming and broadcasting activities. </w:t>
      </w:r>
    </w:p>
    <w:p w14:paraId="6A0D0E6C" w14:textId="77777777" w:rsidR="00BA1E77" w:rsidRPr="00DB00D1" w:rsidRDefault="00BA1E77" w:rsidP="00BA1E77">
      <w:pPr>
        <w:pStyle w:val="JRCTextbulletedlist1"/>
        <w:numPr>
          <w:ilvl w:val="0"/>
          <w:numId w:val="26"/>
        </w:numPr>
      </w:pPr>
      <w:r w:rsidRPr="00DB00D1">
        <w:t xml:space="preserve">J61 Telecommunications. </w:t>
      </w:r>
    </w:p>
    <w:p w14:paraId="11EF26F2" w14:textId="77777777" w:rsidR="00BA1E77" w:rsidRPr="00DB00D1" w:rsidRDefault="00BA1E77" w:rsidP="00BA1E77">
      <w:pPr>
        <w:pStyle w:val="JRCTextbulletedlist1"/>
        <w:numPr>
          <w:ilvl w:val="0"/>
          <w:numId w:val="26"/>
        </w:numPr>
      </w:pPr>
      <w:r w:rsidRPr="00DB00D1">
        <w:t xml:space="preserve">L68 Real estate activities. </w:t>
      </w:r>
    </w:p>
    <w:p w14:paraId="1EB5BFFF" w14:textId="77777777" w:rsidR="00BA1E77" w:rsidRPr="00DB00D1" w:rsidRDefault="00BA1E77" w:rsidP="00BA1E77">
      <w:pPr>
        <w:pStyle w:val="JRCTextbulletedlist1"/>
        <w:numPr>
          <w:ilvl w:val="0"/>
          <w:numId w:val="26"/>
        </w:numPr>
      </w:pPr>
      <w:r w:rsidRPr="00DB00D1">
        <w:t xml:space="preserve">M70 Activities of head offices; management consultancy activities. </w:t>
      </w:r>
    </w:p>
    <w:p w14:paraId="3D936850" w14:textId="77777777" w:rsidR="00BA1E77" w:rsidRPr="00DB00D1" w:rsidRDefault="00BA1E77" w:rsidP="00BA1E77">
      <w:pPr>
        <w:pStyle w:val="JRCTextbulletedlist1"/>
        <w:numPr>
          <w:ilvl w:val="0"/>
          <w:numId w:val="26"/>
        </w:numPr>
      </w:pPr>
      <w:r w:rsidRPr="00DB00D1">
        <w:t xml:space="preserve">M71Architectural and engineering activities; technical testing and analysis. </w:t>
      </w:r>
    </w:p>
    <w:p w14:paraId="5B159443" w14:textId="77777777" w:rsidR="00BA1E77" w:rsidRPr="00DB00D1" w:rsidRDefault="00BA1E77" w:rsidP="00BA1E77">
      <w:pPr>
        <w:pStyle w:val="JRCTextbulletedlist1"/>
        <w:numPr>
          <w:ilvl w:val="0"/>
          <w:numId w:val="26"/>
        </w:numPr>
      </w:pPr>
      <w:r w:rsidRPr="00DB00D1">
        <w:t xml:space="preserve">N78 Employment activities. </w:t>
      </w:r>
    </w:p>
    <w:p w14:paraId="65E5A7F4" w14:textId="77777777" w:rsidR="00BA1E77" w:rsidRPr="00DB00D1" w:rsidRDefault="00BA1E77" w:rsidP="00BA1E77">
      <w:pPr>
        <w:pStyle w:val="JRCTextbulletedlist1"/>
        <w:numPr>
          <w:ilvl w:val="0"/>
          <w:numId w:val="26"/>
        </w:numPr>
      </w:pPr>
      <w:r w:rsidRPr="00DB00D1">
        <w:t xml:space="preserve">N79 Travel agency, tour operator and other reservation service and related activities. </w:t>
      </w:r>
    </w:p>
    <w:p w14:paraId="36691EC6" w14:textId="77777777" w:rsidR="00BA1E77" w:rsidRPr="00DB00D1" w:rsidRDefault="00BA1E77" w:rsidP="00BA1E77">
      <w:pPr>
        <w:pStyle w:val="JRCTextbulletedlist1"/>
        <w:numPr>
          <w:ilvl w:val="0"/>
          <w:numId w:val="26"/>
        </w:numPr>
      </w:pPr>
      <w:r w:rsidRPr="00DB00D1">
        <w:t xml:space="preserve">N80 Security and investigation activities. </w:t>
      </w:r>
    </w:p>
    <w:p w14:paraId="79CE5151" w14:textId="77777777" w:rsidR="00BA1E77" w:rsidRPr="00DB00D1" w:rsidRDefault="00BA1E77" w:rsidP="00BA1E77">
      <w:pPr>
        <w:pStyle w:val="JRCTextbulletedlist1"/>
        <w:numPr>
          <w:ilvl w:val="0"/>
          <w:numId w:val="26"/>
        </w:numPr>
      </w:pPr>
      <w:r w:rsidRPr="00DB00D1">
        <w:t xml:space="preserve">R91 Libraries, archives, museums and other cultural activities. </w:t>
      </w:r>
    </w:p>
    <w:p w14:paraId="7B1283E3" w14:textId="77777777" w:rsidR="00BA1E77" w:rsidRPr="0070262C" w:rsidRDefault="00BA1E77" w:rsidP="00BA1E77">
      <w:pPr>
        <w:pStyle w:val="JRCTextbulletedlist1"/>
        <w:numPr>
          <w:ilvl w:val="0"/>
          <w:numId w:val="26"/>
        </w:numPr>
      </w:pPr>
      <w:r w:rsidRPr="0070262C">
        <w:t xml:space="preserve">R92 Gambling and betting activities. </w:t>
      </w:r>
    </w:p>
    <w:p w14:paraId="105A9839" w14:textId="77777777" w:rsidR="00BA1E77" w:rsidRPr="00DB00D1" w:rsidRDefault="00BA1E77" w:rsidP="00BA1E77">
      <w:pPr>
        <w:pStyle w:val="JRCLevel-3title"/>
      </w:pPr>
      <w:bookmarkStart w:id="32" w:name="_Toc221016427"/>
      <w:r w:rsidRPr="00DB00D1">
        <w:t>Exports of goods analysis</w:t>
      </w:r>
      <w:bookmarkEnd w:id="32"/>
      <w:r w:rsidRPr="00DB00D1">
        <w:t xml:space="preserve"> </w:t>
      </w:r>
    </w:p>
    <w:p w14:paraId="7E8E86D0" w14:textId="77777777" w:rsidR="00BA1E77" w:rsidRPr="00DB00D1" w:rsidRDefault="00BA1E77" w:rsidP="00BA1E77">
      <w:pPr>
        <w:pStyle w:val="JRCText"/>
        <w:spacing w:line="276" w:lineRule="auto"/>
      </w:pPr>
      <w:r w:rsidRPr="00DB00D1">
        <w:t xml:space="preserve">An additional step of the economic analysis has focused on Exports of goods </w:t>
      </w:r>
      <w:proofErr w:type="gramStart"/>
      <w:r w:rsidRPr="00DB00D1">
        <w:t>in order to</w:t>
      </w:r>
      <w:proofErr w:type="gramEnd"/>
      <w:r w:rsidRPr="00DB00D1">
        <w:t xml:space="preserve"> assess the competitiveness of Montenegro’s industries and their capacity to be attractive also on the international market. Through this analysis, goods exports are used to identify in which products Montenegro has a trade capacity. Export data are available at the HS</w:t>
      </w:r>
      <w:r>
        <w:t>-</w:t>
      </w:r>
      <w:r w:rsidRPr="00DB00D1">
        <w:t xml:space="preserve">17 4-digit level from UN Comtrade. Figure 9 below illustrates the value of goods exports from 2012 to 2023. It reveals a downward trend between 2013 and 2015, followed by modest growth until 2019. There was a brief decline during the Covid-19 pandemic, but a robust recovery ensued afterwards, culminating in a peak in 2022, when the exports reached </w:t>
      </w:r>
      <w:r>
        <w:t xml:space="preserve">USD </w:t>
      </w:r>
      <w:r w:rsidRPr="00DB00D1">
        <w:t>723 million</w:t>
      </w:r>
      <w:r>
        <w:t xml:space="preserve"> – </w:t>
      </w:r>
      <w:r w:rsidRPr="00DB00D1">
        <w:t>more than double the lowest value recorded in 2015 (</w:t>
      </w:r>
      <w:r>
        <w:t xml:space="preserve">USD </w:t>
      </w:r>
      <w:r w:rsidRPr="00DB00D1">
        <w:t>353 million).</w:t>
      </w:r>
    </w:p>
    <w:p w14:paraId="3CD6DE09" w14:textId="77777777" w:rsidR="00BA1E77" w:rsidRPr="00DB00D1" w:rsidRDefault="00BA1E77" w:rsidP="00BA1E77">
      <w:pPr>
        <w:pStyle w:val="JRCText"/>
        <w:spacing w:line="276" w:lineRule="auto"/>
      </w:pPr>
    </w:p>
    <w:p w14:paraId="1A10DE82" w14:textId="77777777" w:rsidR="00BA1E77" w:rsidRPr="00DB00D1" w:rsidRDefault="00BA1E77" w:rsidP="00BA1E77">
      <w:pPr>
        <w:pStyle w:val="JRCFigurecaption"/>
      </w:pPr>
      <w:bookmarkStart w:id="33" w:name="_Toc220939005"/>
      <w:bookmarkStart w:id="34" w:name="_Toc221271688"/>
      <w:r w:rsidRPr="000E2296">
        <w:rPr>
          <w:b/>
          <w:bCs/>
        </w:rPr>
        <w:t xml:space="preserve">Figure </w:t>
      </w:r>
      <w:r w:rsidRPr="000E2296">
        <w:rPr>
          <w:b/>
          <w:bCs/>
        </w:rPr>
        <w:fldChar w:fldCharType="begin"/>
      </w:r>
      <w:r w:rsidRPr="000E2296">
        <w:rPr>
          <w:b/>
          <w:bCs/>
        </w:rPr>
        <w:instrText xml:space="preserve"> SEQ Figure \* ARABIC </w:instrText>
      </w:r>
      <w:r w:rsidRPr="000E2296">
        <w:rPr>
          <w:b/>
          <w:bCs/>
        </w:rPr>
        <w:fldChar w:fldCharType="separate"/>
      </w:r>
      <w:r>
        <w:rPr>
          <w:b/>
          <w:bCs/>
          <w:noProof/>
        </w:rPr>
        <w:t>9</w:t>
      </w:r>
      <w:r w:rsidRPr="000E2296">
        <w:rPr>
          <w:b/>
          <w:bCs/>
        </w:rPr>
        <w:fldChar w:fldCharType="end"/>
      </w:r>
      <w:r>
        <w:rPr>
          <w:b/>
          <w:bCs/>
        </w:rPr>
        <w:t>.</w:t>
      </w:r>
      <w:r w:rsidRPr="00DB00D1">
        <w:t xml:space="preserve"> Total Exports (2012-2023) (US</w:t>
      </w:r>
      <w:r>
        <w:t>D</w:t>
      </w:r>
      <w:r w:rsidRPr="00DB00D1">
        <w:t xml:space="preserve"> million)</w:t>
      </w:r>
      <w:bookmarkEnd w:id="33"/>
      <w:bookmarkEnd w:id="34"/>
    </w:p>
    <w:p w14:paraId="1434CF89" w14:textId="77777777" w:rsidR="00BA1E77" w:rsidRPr="00DB00D1" w:rsidRDefault="00BA1E77" w:rsidP="00BA1E77">
      <w:pPr>
        <w:pStyle w:val="JRCFigureplaceholder"/>
      </w:pPr>
      <w:r w:rsidRPr="00DB00D1">
        <w:rPr>
          <w:noProof/>
        </w:rPr>
        <w:drawing>
          <wp:inline distT="0" distB="0" distL="0" distR="0" wp14:anchorId="320BDD43" wp14:editId="0C3414FB">
            <wp:extent cx="6120000" cy="2520000"/>
            <wp:effectExtent l="0" t="0" r="14605" b="7620"/>
            <wp:docPr id="34735815" name="Grafico 1">
              <a:extLst xmlns:a="http://schemas.openxmlformats.org/drawingml/2006/main">
                <a:ext uri="{FF2B5EF4-FFF2-40B4-BE49-F238E27FC236}">
                  <a16:creationId xmlns:a16="http://schemas.microsoft.com/office/drawing/2014/main" id="{4ABB8453-CB4C-70FB-1221-28904E2ED52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490A77FC" w14:textId="77777777" w:rsidR="00BA1E77" w:rsidRPr="00717996" w:rsidRDefault="00BA1E77" w:rsidP="00BA1E77">
      <w:pPr>
        <w:pStyle w:val="JRCFiguresource"/>
      </w:pPr>
      <w:r w:rsidRPr="00717996">
        <w:rPr>
          <w:b/>
          <w:bCs/>
        </w:rPr>
        <w:t>Source:</w:t>
      </w:r>
      <w:r w:rsidRPr="00717996">
        <w:t xml:space="preserve"> </w:t>
      </w:r>
      <w:r>
        <w:t>A</w:t>
      </w:r>
      <w:r w:rsidRPr="00717996">
        <w:t>uthor</w:t>
      </w:r>
      <w:r>
        <w:t>s</w:t>
      </w:r>
      <w:r w:rsidRPr="00717996">
        <w:t>’ elaboration on UN Comtrade data</w:t>
      </w:r>
    </w:p>
    <w:p w14:paraId="31A9E7BF" w14:textId="77777777" w:rsidR="00BA1E77" w:rsidRPr="00DB00D1" w:rsidRDefault="00BA1E77" w:rsidP="00BA1E77">
      <w:pPr>
        <w:pStyle w:val="JRCText"/>
        <w:spacing w:line="276" w:lineRule="auto"/>
      </w:pPr>
      <w:r w:rsidRPr="00DB00D1">
        <w:t xml:space="preserve">Figure 10 shows the 10 largest export categories based on export values over the period 2019-2023. The leading export industry is </w:t>
      </w:r>
      <w:r w:rsidRPr="00DB00D1">
        <w:rPr>
          <w:i/>
          <w:iCs/>
        </w:rPr>
        <w:t xml:space="preserve">HS-27 </w:t>
      </w:r>
      <w:r>
        <w:rPr>
          <w:i/>
          <w:iCs/>
        </w:rPr>
        <w:t>–</w:t>
      </w:r>
      <w:r w:rsidRPr="00DB00D1">
        <w:rPr>
          <w:i/>
          <w:iCs/>
        </w:rPr>
        <w:t xml:space="preserve"> Mineral fuels, mineral oils and products of their distillation </w:t>
      </w:r>
      <w:r w:rsidRPr="00DB00D1">
        <w:t xml:space="preserve">with 26%, </w:t>
      </w:r>
      <w:r w:rsidRPr="00DB00D1">
        <w:rPr>
          <w:i/>
          <w:iCs/>
        </w:rPr>
        <w:t xml:space="preserve">HS-76 – Aluminium articles and thereof </w:t>
      </w:r>
      <w:r w:rsidRPr="00DB00D1">
        <w:t xml:space="preserve">with 18% of total goods exports followed by strong drop to the third export industry that is </w:t>
      </w:r>
      <w:r w:rsidRPr="00DB00D1">
        <w:rPr>
          <w:i/>
          <w:iCs/>
        </w:rPr>
        <w:t xml:space="preserve">HS-44 – Wood and articles of wood... </w:t>
      </w:r>
      <w:r w:rsidRPr="00DB00D1">
        <w:t>with 8%.</w:t>
      </w:r>
    </w:p>
    <w:p w14:paraId="5E2C6520" w14:textId="77777777" w:rsidR="00BA1E77" w:rsidRPr="00DB00D1" w:rsidRDefault="00BA1E77" w:rsidP="00BA1E77">
      <w:pPr>
        <w:pStyle w:val="JRCFigurecaption"/>
      </w:pPr>
      <w:bookmarkStart w:id="35" w:name="_Toc220939006"/>
      <w:bookmarkStart w:id="36" w:name="_Toc221271689"/>
      <w:r w:rsidRPr="000E2296">
        <w:rPr>
          <w:b/>
          <w:bCs/>
        </w:rPr>
        <w:t xml:space="preserve">Figure </w:t>
      </w:r>
      <w:r w:rsidRPr="000E2296">
        <w:rPr>
          <w:b/>
          <w:bCs/>
        </w:rPr>
        <w:fldChar w:fldCharType="begin"/>
      </w:r>
      <w:r w:rsidRPr="000E2296">
        <w:rPr>
          <w:b/>
          <w:bCs/>
        </w:rPr>
        <w:instrText xml:space="preserve"> SEQ Figure \* ARABIC </w:instrText>
      </w:r>
      <w:r w:rsidRPr="000E2296">
        <w:rPr>
          <w:b/>
          <w:bCs/>
        </w:rPr>
        <w:fldChar w:fldCharType="separate"/>
      </w:r>
      <w:r>
        <w:rPr>
          <w:b/>
          <w:bCs/>
          <w:noProof/>
        </w:rPr>
        <w:t>10</w:t>
      </w:r>
      <w:r w:rsidRPr="000E2296">
        <w:rPr>
          <w:b/>
          <w:bCs/>
        </w:rPr>
        <w:fldChar w:fldCharType="end"/>
      </w:r>
      <w:r>
        <w:rPr>
          <w:b/>
          <w:bCs/>
        </w:rPr>
        <w:t>.</w:t>
      </w:r>
      <w:r w:rsidRPr="00DB00D1">
        <w:t xml:space="preserve"> Top 10 exports per product category (HS Classification 2-digit) for the period 2019-2023 in percentage</w:t>
      </w:r>
      <w:bookmarkEnd w:id="35"/>
      <w:bookmarkEnd w:id="36"/>
      <w:r w:rsidRPr="00DB00D1">
        <w:t xml:space="preserve"> </w:t>
      </w:r>
    </w:p>
    <w:p w14:paraId="68305530" w14:textId="77777777" w:rsidR="00BA1E77" w:rsidRPr="00DB00D1" w:rsidRDefault="00BA1E77" w:rsidP="00BA1E77">
      <w:pPr>
        <w:pStyle w:val="JRCFigureplaceholder"/>
        <w:rPr>
          <w:i/>
          <w:iCs/>
          <w:sz w:val="20"/>
          <w:szCs w:val="20"/>
        </w:rPr>
      </w:pPr>
      <w:r w:rsidRPr="00DB00D1">
        <w:rPr>
          <w:noProof/>
        </w:rPr>
        <w:drawing>
          <wp:inline distT="0" distB="0" distL="0" distR="0" wp14:anchorId="45159928" wp14:editId="68A1614E">
            <wp:extent cx="6120000" cy="2520000"/>
            <wp:effectExtent l="0" t="0" r="14605" b="7620"/>
            <wp:docPr id="1122715831" name="Grafico 1">
              <a:extLst xmlns:a="http://schemas.openxmlformats.org/drawingml/2006/main">
                <a:ext uri="{FF2B5EF4-FFF2-40B4-BE49-F238E27FC236}">
                  <a16:creationId xmlns:a16="http://schemas.microsoft.com/office/drawing/2014/main" id="{6CFC00EF-7E32-9CD0-8FCB-41B61D9DB67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2141071A" w14:textId="77777777" w:rsidR="00BA1E77" w:rsidRPr="00E74374" w:rsidRDefault="00BA1E77" w:rsidP="00BA1E77">
      <w:pPr>
        <w:pStyle w:val="JRCFiguresource"/>
      </w:pPr>
      <w:r w:rsidRPr="00E74374">
        <w:rPr>
          <w:b/>
          <w:bCs/>
        </w:rPr>
        <w:t>Source:</w:t>
      </w:r>
      <w:r w:rsidRPr="00E74374">
        <w:t xml:space="preserve"> </w:t>
      </w:r>
      <w:r>
        <w:t>A</w:t>
      </w:r>
      <w:r w:rsidRPr="00E74374">
        <w:t>uthor’s elaboration on UN Comtrade data</w:t>
      </w:r>
    </w:p>
    <w:p w14:paraId="56BA432A" w14:textId="77777777" w:rsidR="00BA1E77" w:rsidRPr="00DB00D1" w:rsidRDefault="00BA1E77" w:rsidP="00BA1E77">
      <w:pPr>
        <w:pStyle w:val="JRCText"/>
        <w:spacing w:line="276" w:lineRule="auto"/>
      </w:pPr>
      <w:r w:rsidRPr="00DB00D1">
        <w:t xml:space="preserve">Concentrating on the two most exported product category is interesting to notice the two opposite trends while sector HS-27 is still growing and reached a value of more than </w:t>
      </w:r>
      <w:r>
        <w:t xml:space="preserve">USD </w:t>
      </w:r>
      <w:r w:rsidRPr="00DB00D1">
        <w:t xml:space="preserve">250 million in 2023, the sector HS-76 suffered a strong drop over the last year from almost </w:t>
      </w:r>
      <w:r>
        <w:t xml:space="preserve">USD </w:t>
      </w:r>
      <w:r w:rsidRPr="00DB00D1">
        <w:t>190 million in 2022 to approximately 85 in 2023 according to UN Comtrade data.</w:t>
      </w:r>
    </w:p>
    <w:p w14:paraId="42AF907A" w14:textId="77777777" w:rsidR="00BA1E77" w:rsidRPr="00DB00D1" w:rsidRDefault="00BA1E77" w:rsidP="00BA1E77">
      <w:pPr>
        <w:pStyle w:val="JRCText"/>
        <w:spacing w:line="276" w:lineRule="auto"/>
      </w:pPr>
    </w:p>
    <w:p w14:paraId="64467993" w14:textId="77777777" w:rsidR="00BA1E77" w:rsidRPr="00DB00D1" w:rsidRDefault="00BA1E77" w:rsidP="00BA1E77">
      <w:pPr>
        <w:pStyle w:val="JRCFigurecaption"/>
      </w:pPr>
      <w:bookmarkStart w:id="37" w:name="_Toc220939007"/>
      <w:bookmarkStart w:id="38" w:name="_Toc221271690"/>
      <w:r w:rsidRPr="000E2296">
        <w:rPr>
          <w:b/>
          <w:bCs/>
        </w:rPr>
        <w:t xml:space="preserve">Figure </w:t>
      </w:r>
      <w:r w:rsidRPr="000E2296">
        <w:rPr>
          <w:b/>
          <w:bCs/>
        </w:rPr>
        <w:fldChar w:fldCharType="begin"/>
      </w:r>
      <w:r w:rsidRPr="000E2296">
        <w:rPr>
          <w:b/>
          <w:bCs/>
        </w:rPr>
        <w:instrText xml:space="preserve"> SEQ Figure \* ARABIC </w:instrText>
      </w:r>
      <w:r w:rsidRPr="000E2296">
        <w:rPr>
          <w:b/>
          <w:bCs/>
        </w:rPr>
        <w:fldChar w:fldCharType="separate"/>
      </w:r>
      <w:r>
        <w:rPr>
          <w:b/>
          <w:bCs/>
          <w:noProof/>
        </w:rPr>
        <w:t>11</w:t>
      </w:r>
      <w:r w:rsidRPr="000E2296">
        <w:rPr>
          <w:b/>
          <w:bCs/>
        </w:rPr>
        <w:fldChar w:fldCharType="end"/>
      </w:r>
      <w:r>
        <w:rPr>
          <w:b/>
          <w:bCs/>
        </w:rPr>
        <w:t>.</w:t>
      </w:r>
      <w:r w:rsidRPr="00DB00D1">
        <w:t xml:space="preserve"> Top 2 exports per product category (HS Classification 2-digit), breakdown 2019-2023 (US</w:t>
      </w:r>
      <w:r>
        <w:t>D</w:t>
      </w:r>
      <w:r w:rsidRPr="00556EB9">
        <w:t xml:space="preserve"> </w:t>
      </w:r>
      <w:r w:rsidRPr="00DB00D1">
        <w:t>million)</w:t>
      </w:r>
      <w:bookmarkEnd w:id="37"/>
      <w:bookmarkEnd w:id="38"/>
    </w:p>
    <w:p w14:paraId="7EB2F3C2" w14:textId="77777777" w:rsidR="00BA1E77" w:rsidRPr="00DB00D1" w:rsidRDefault="00BA1E77" w:rsidP="00BA1E77">
      <w:pPr>
        <w:pStyle w:val="JRCFigureplaceholder"/>
      </w:pPr>
      <w:r w:rsidRPr="00DB00D1">
        <w:rPr>
          <w:noProof/>
        </w:rPr>
        <w:drawing>
          <wp:inline distT="0" distB="0" distL="0" distR="0" wp14:anchorId="121EDC02" wp14:editId="44EAF711">
            <wp:extent cx="6120000" cy="2520000"/>
            <wp:effectExtent l="0" t="0" r="14605" b="13970"/>
            <wp:docPr id="1648667158" name="Grafico 1">
              <a:extLst xmlns:a="http://schemas.openxmlformats.org/drawingml/2006/main">
                <a:ext uri="{FF2B5EF4-FFF2-40B4-BE49-F238E27FC236}">
                  <a16:creationId xmlns:a16="http://schemas.microsoft.com/office/drawing/2014/main" id="{FDEA922C-D73D-6367-A5D8-580F24308FF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323E673E" w14:textId="77777777" w:rsidR="00BA1E77" w:rsidRPr="00B6221A" w:rsidRDefault="00BA1E77" w:rsidP="00BA1E77">
      <w:pPr>
        <w:pStyle w:val="JRCFiguresource"/>
      </w:pPr>
      <w:r w:rsidRPr="00B6221A">
        <w:rPr>
          <w:b/>
          <w:bCs/>
        </w:rPr>
        <w:t>Source:</w:t>
      </w:r>
      <w:r w:rsidRPr="00B6221A">
        <w:t xml:space="preserve"> </w:t>
      </w:r>
      <w:r>
        <w:t>A</w:t>
      </w:r>
      <w:r w:rsidRPr="00B6221A">
        <w:t>uthor</w:t>
      </w:r>
      <w:r>
        <w:t>s</w:t>
      </w:r>
      <w:r w:rsidRPr="00B6221A">
        <w:t>’ elaboration on UN Comtrade data</w:t>
      </w:r>
    </w:p>
    <w:p w14:paraId="1F0B827A" w14:textId="77777777" w:rsidR="00BA1E77" w:rsidRPr="0085564D" w:rsidRDefault="00BA1E77" w:rsidP="00BA1E77">
      <w:pPr>
        <w:pStyle w:val="JRCLevel-2title"/>
      </w:pPr>
      <w:bookmarkStart w:id="39" w:name="_Toc221016428"/>
      <w:r w:rsidRPr="0085564D">
        <w:rPr>
          <w:lang w:val="en-IE"/>
        </w:rPr>
        <w:t>Scientific</w:t>
      </w:r>
      <w:r w:rsidRPr="0085564D">
        <w:t xml:space="preserve"> </w:t>
      </w:r>
      <w:r w:rsidRPr="0085564D">
        <w:rPr>
          <w:lang w:val="en-IE"/>
        </w:rPr>
        <w:t>Potential</w:t>
      </w:r>
      <w:bookmarkEnd w:id="39"/>
    </w:p>
    <w:p w14:paraId="17994AB4" w14:textId="77777777" w:rsidR="00BA1E77" w:rsidRPr="0064078F" w:rsidRDefault="00BA1E77" w:rsidP="00BA1E77">
      <w:pPr>
        <w:pStyle w:val="JRCText"/>
      </w:pPr>
      <w:r w:rsidRPr="0064078F">
        <w:t xml:space="preserve">Following the analysis of the economic potential of Montenegro the report deals with the scientific potential of the country. This may help to identify possible overlaps that reinforce the identification of relevant industrial sectors or other sectors that appear to be promising, even if </w:t>
      </w:r>
      <w:proofErr w:type="gramStart"/>
      <w:r w:rsidRPr="0064078F">
        <w:t>at the moment</w:t>
      </w:r>
      <w:proofErr w:type="gramEnd"/>
      <w:r w:rsidRPr="0064078F">
        <w:t>, these sectors are not among those showing Economic potential - following the stricter approach used in the previous analysis.</w:t>
      </w:r>
    </w:p>
    <w:p w14:paraId="6ED3A0B2" w14:textId="77777777" w:rsidR="00BA1E77" w:rsidRPr="00B6221A" w:rsidRDefault="00BA1E77" w:rsidP="00BA1E77">
      <w:pPr>
        <w:pStyle w:val="JRCText"/>
        <w:rPr>
          <w:rFonts w:cs="Times New Roman (Body CS)"/>
          <w:spacing w:val="-2"/>
        </w:rPr>
      </w:pPr>
      <w:r w:rsidRPr="00B6221A">
        <w:rPr>
          <w:rFonts w:cs="Times New Roman (Body CS)"/>
          <w:spacing w:val="-2"/>
        </w:rPr>
        <w:t xml:space="preserve">For this purpose and to explore Montenegro’s scientific potential have been considered the following areas. </w:t>
      </w:r>
    </w:p>
    <w:p w14:paraId="47C8CD8A" w14:textId="77777777" w:rsidR="00BA1E77" w:rsidRPr="0064078F" w:rsidRDefault="00BA1E77" w:rsidP="00BA1E77">
      <w:pPr>
        <w:pStyle w:val="JRCText"/>
      </w:pPr>
      <w:r w:rsidRPr="0064078F">
        <w:t xml:space="preserve">The Scientific production was computed by analysing the number of scientific publications and citations received by scholars affiliated with institutions based in Montenegro over the period 2010-2023. This part includes the analysis of the most productive (in terms of publications) research areas and then a comparison with the reference area, in this case, the Western Balkans (WB) Montenegro, Albania, Bosnia and Herzegovina, North Macedonia, Serbia. These data are analysed in terms of total production for the different subject areas. However, the </w:t>
      </w:r>
      <w:proofErr w:type="gramStart"/>
      <w:r w:rsidRPr="0064078F">
        <w:t>main focus</w:t>
      </w:r>
      <w:proofErr w:type="gramEnd"/>
      <w:r w:rsidRPr="0064078F">
        <w:t>, similar to the previous chapter is on LQ. The LQ helps identify whether there is a specialisation in a specific scientific field compared to the WB.</w:t>
      </w:r>
    </w:p>
    <w:p w14:paraId="7D821127" w14:textId="77777777" w:rsidR="00BA1E77" w:rsidRPr="0064078F" w:rsidRDefault="00BA1E77" w:rsidP="00BA1E77">
      <w:pPr>
        <w:pStyle w:val="JRCText"/>
        <w:rPr>
          <w:highlight w:val="yellow"/>
        </w:rPr>
      </w:pPr>
      <w:r w:rsidRPr="0064078F">
        <w:t>The Educational system was calculated based on the number of students enrolled in higher education and particularly the number of students who graduated in the different higher education studies (basic, specialist, master, doctoral) for the period 2018-2023.</w:t>
      </w:r>
    </w:p>
    <w:p w14:paraId="01D90633" w14:textId="77777777" w:rsidR="00BA1E77" w:rsidRPr="0064078F" w:rsidRDefault="00BA1E77" w:rsidP="00BA1E77">
      <w:pPr>
        <w:pStyle w:val="JRCText"/>
      </w:pPr>
      <w:r w:rsidRPr="0064078F">
        <w:t>The Scientific research system was obtained by analysing the data regarding the participation in national scientific programs and Horizon projects.</w:t>
      </w:r>
    </w:p>
    <w:p w14:paraId="7DCF7DE8" w14:textId="77777777" w:rsidR="00BA1E77" w:rsidRPr="00B6221A" w:rsidRDefault="00BA1E77" w:rsidP="00BA1E77">
      <w:pPr>
        <w:pStyle w:val="JRCLevel-3title"/>
      </w:pPr>
      <w:bookmarkStart w:id="40" w:name="_Toc221016429"/>
      <w:r w:rsidRPr="00B6221A">
        <w:t>Scientific production</w:t>
      </w:r>
      <w:bookmarkEnd w:id="40"/>
      <w:r w:rsidRPr="00B6221A">
        <w:t xml:space="preserve"> </w:t>
      </w:r>
    </w:p>
    <w:p w14:paraId="1C1E3402" w14:textId="77777777" w:rsidR="00BA1E77" w:rsidRPr="0064078F" w:rsidRDefault="00BA1E77" w:rsidP="00BA1E77">
      <w:pPr>
        <w:pStyle w:val="JRCText"/>
      </w:pPr>
      <w:r w:rsidRPr="0064078F">
        <w:t>Table 3 presents the number of scientific productions in Montenegro and the relative percentage of the</w:t>
      </w:r>
      <w:r>
        <w:rPr>
          <w:rFonts w:ascii="Calibri" w:hAnsi="Calibri" w:cs="Calibri"/>
        </w:rPr>
        <w:t> </w:t>
      </w:r>
      <w:r w:rsidRPr="0064078F">
        <w:t>25</w:t>
      </w:r>
      <w:r>
        <w:rPr>
          <w:rFonts w:ascii="Calibri" w:hAnsi="Calibri" w:cs="Calibri"/>
        </w:rPr>
        <w:t> </w:t>
      </w:r>
      <w:r w:rsidRPr="0064078F">
        <w:t>most frequent research areas over the period 2010-2023.</w:t>
      </w:r>
    </w:p>
    <w:p w14:paraId="4DBDEB8B" w14:textId="77777777" w:rsidR="00BA1E77" w:rsidRPr="0064078F" w:rsidRDefault="00BA1E77" w:rsidP="00BA1E77">
      <w:pPr>
        <w:pStyle w:val="JRCText"/>
      </w:pPr>
      <w:r w:rsidRPr="0064078F">
        <w:lastRenderedPageBreak/>
        <w:t>Engineering has the highest value with 16.2% of total publications, followed by Physics 7.7% and computer science 7.3%.</w:t>
      </w:r>
    </w:p>
    <w:p w14:paraId="0A0223E4" w14:textId="77777777" w:rsidR="00BA1E77" w:rsidRPr="00DB00D1" w:rsidRDefault="00BA1E77" w:rsidP="00BA1E77">
      <w:pPr>
        <w:pStyle w:val="JRCTabletitle"/>
      </w:pPr>
      <w:bookmarkStart w:id="41" w:name="_Toc220938955"/>
      <w:bookmarkStart w:id="42" w:name="_Toc221271665"/>
      <w:r w:rsidRPr="00C62602">
        <w:rPr>
          <w:b/>
          <w:bCs/>
        </w:rPr>
        <w:t xml:space="preserve">Table </w:t>
      </w:r>
      <w:r w:rsidRPr="00C62602">
        <w:rPr>
          <w:b/>
          <w:bCs/>
        </w:rPr>
        <w:fldChar w:fldCharType="begin"/>
      </w:r>
      <w:r w:rsidRPr="00C62602">
        <w:rPr>
          <w:b/>
          <w:bCs/>
        </w:rPr>
        <w:instrText xml:space="preserve"> SEQ Table \* ARABIC </w:instrText>
      </w:r>
      <w:r w:rsidRPr="00C62602">
        <w:rPr>
          <w:b/>
          <w:bCs/>
        </w:rPr>
        <w:fldChar w:fldCharType="separate"/>
      </w:r>
      <w:r>
        <w:rPr>
          <w:b/>
          <w:bCs/>
          <w:noProof/>
        </w:rPr>
        <w:t>3</w:t>
      </w:r>
      <w:r w:rsidRPr="00C62602">
        <w:rPr>
          <w:b/>
          <w:bCs/>
        </w:rPr>
        <w:fldChar w:fldCharType="end"/>
      </w:r>
      <w:r>
        <w:rPr>
          <w:b/>
          <w:bCs/>
        </w:rPr>
        <w:t>.</w:t>
      </w:r>
      <w:r w:rsidRPr="00DB00D1">
        <w:t xml:space="preserve"> Scientific publications by research area (2021-2023)</w:t>
      </w:r>
      <w:bookmarkEnd w:id="41"/>
      <w:bookmarkEnd w:id="42"/>
    </w:p>
    <w:tbl>
      <w:tblPr>
        <w:tblStyle w:val="JRCTableBasic"/>
        <w:tblW w:w="5070" w:type="pct"/>
        <w:tblLook w:val="04A0" w:firstRow="1" w:lastRow="0" w:firstColumn="1" w:lastColumn="0" w:noHBand="0" w:noVBand="1"/>
      </w:tblPr>
      <w:tblGrid>
        <w:gridCol w:w="435"/>
        <w:gridCol w:w="3897"/>
        <w:gridCol w:w="4672"/>
        <w:gridCol w:w="759"/>
      </w:tblGrid>
      <w:tr w:rsidR="00BA1E77" w:rsidRPr="00C62602" w14:paraId="29C10055" w14:textId="77777777" w:rsidTr="00BA1E77">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88" w:type="pct"/>
            <w:noWrap/>
            <w:hideMark/>
          </w:tcPr>
          <w:p w14:paraId="0F27A6FE" w14:textId="77777777" w:rsidR="00BA1E77" w:rsidRPr="00C62602" w:rsidRDefault="00BA1E77" w:rsidP="00C70998">
            <w:pPr>
              <w:pStyle w:val="JRCTabletext10pt"/>
            </w:pPr>
          </w:p>
        </w:tc>
        <w:tc>
          <w:tcPr>
            <w:tcW w:w="1968" w:type="pct"/>
            <w:noWrap/>
            <w:hideMark/>
          </w:tcPr>
          <w:p w14:paraId="7F3E047C" w14:textId="77777777" w:rsidR="00BA1E77" w:rsidRPr="000E3034" w:rsidRDefault="00BA1E77" w:rsidP="00C70998">
            <w:pPr>
              <w:pStyle w:val="JRCTableBoxtitle"/>
              <w:jc w:val="left"/>
              <w:cnfStyle w:val="100000000000" w:firstRow="1" w:lastRow="0" w:firstColumn="0" w:lastColumn="0" w:oddVBand="0" w:evenVBand="0" w:oddHBand="0" w:evenHBand="0" w:firstRowFirstColumn="0" w:firstRowLastColumn="0" w:lastRowFirstColumn="0" w:lastRowLastColumn="0"/>
              <w:rPr>
                <w:b/>
                <w:bCs/>
              </w:rPr>
            </w:pPr>
            <w:r w:rsidRPr="000E3034">
              <w:rPr>
                <w:b/>
                <w:bCs/>
              </w:rPr>
              <w:t xml:space="preserve">Research Areas </w:t>
            </w:r>
          </w:p>
        </w:tc>
        <w:tc>
          <w:tcPr>
            <w:tcW w:w="2359" w:type="pct"/>
            <w:noWrap/>
            <w:hideMark/>
          </w:tcPr>
          <w:p w14:paraId="093EFB51" w14:textId="77777777" w:rsidR="00BA1E77" w:rsidRPr="000E3034" w:rsidRDefault="00BA1E77" w:rsidP="00C70998">
            <w:pPr>
              <w:pStyle w:val="JRCTableBoxtitle"/>
              <w:jc w:val="left"/>
              <w:cnfStyle w:val="100000000000" w:firstRow="1" w:lastRow="0" w:firstColumn="0" w:lastColumn="0" w:oddVBand="0" w:evenVBand="0" w:oddHBand="0" w:evenHBand="0" w:firstRowFirstColumn="0" w:firstRowLastColumn="0" w:lastRowFirstColumn="0" w:lastRowLastColumn="0"/>
              <w:rPr>
                <w:b/>
                <w:bCs/>
              </w:rPr>
            </w:pPr>
            <w:r w:rsidRPr="000E3034">
              <w:rPr>
                <w:b/>
                <w:bCs/>
              </w:rPr>
              <w:t>Number of scientific publications (2010-23)</w:t>
            </w:r>
          </w:p>
        </w:tc>
        <w:tc>
          <w:tcPr>
            <w:tcW w:w="385" w:type="pct"/>
            <w:noWrap/>
            <w:hideMark/>
          </w:tcPr>
          <w:p w14:paraId="503C060D" w14:textId="77777777" w:rsidR="00BA1E77" w:rsidRPr="000E3034" w:rsidRDefault="00BA1E77" w:rsidP="00C70998">
            <w:pPr>
              <w:pStyle w:val="JRCTableBoxtitle"/>
              <w:jc w:val="left"/>
              <w:cnfStyle w:val="100000000000" w:firstRow="1" w:lastRow="0" w:firstColumn="0" w:lastColumn="0" w:oddVBand="0" w:evenVBand="0" w:oddHBand="0" w:evenHBand="0" w:firstRowFirstColumn="0" w:firstRowLastColumn="0" w:lastRowFirstColumn="0" w:lastRowLastColumn="0"/>
              <w:rPr>
                <w:b/>
                <w:bCs/>
              </w:rPr>
            </w:pPr>
            <w:r w:rsidRPr="000E3034">
              <w:rPr>
                <w:b/>
                <w:bCs/>
              </w:rPr>
              <w:t>%</w:t>
            </w:r>
          </w:p>
        </w:tc>
      </w:tr>
      <w:tr w:rsidR="00BA1E77" w:rsidRPr="00C62602" w14:paraId="3E349FE5" w14:textId="77777777" w:rsidTr="00BA1E77">
        <w:trPr>
          <w:trHeight w:val="288"/>
        </w:trPr>
        <w:tc>
          <w:tcPr>
            <w:cnfStyle w:val="001000000000" w:firstRow="0" w:lastRow="0" w:firstColumn="1" w:lastColumn="0" w:oddVBand="0" w:evenVBand="0" w:oddHBand="0" w:evenHBand="0" w:firstRowFirstColumn="0" w:firstRowLastColumn="0" w:lastRowFirstColumn="0" w:lastRowLastColumn="0"/>
            <w:tcW w:w="288" w:type="pct"/>
            <w:noWrap/>
            <w:hideMark/>
          </w:tcPr>
          <w:p w14:paraId="6C368E06" w14:textId="77777777" w:rsidR="00BA1E77" w:rsidRPr="00C62602" w:rsidRDefault="00BA1E77" w:rsidP="00C70998">
            <w:pPr>
              <w:pStyle w:val="JRCTabletext10pt"/>
            </w:pPr>
            <w:r w:rsidRPr="00C62602">
              <w:t>1</w:t>
            </w:r>
          </w:p>
        </w:tc>
        <w:tc>
          <w:tcPr>
            <w:tcW w:w="1968" w:type="pct"/>
            <w:noWrap/>
            <w:hideMark/>
          </w:tcPr>
          <w:p w14:paraId="03F37185"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Engineering</w:t>
            </w:r>
          </w:p>
        </w:tc>
        <w:tc>
          <w:tcPr>
            <w:tcW w:w="2359" w:type="pct"/>
            <w:noWrap/>
            <w:hideMark/>
          </w:tcPr>
          <w:p w14:paraId="2D56C02D"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1</w:t>
            </w:r>
            <w:r>
              <w:t>,</w:t>
            </w:r>
            <w:r w:rsidRPr="00C62602">
              <w:t>071</w:t>
            </w:r>
          </w:p>
        </w:tc>
        <w:tc>
          <w:tcPr>
            <w:tcW w:w="385" w:type="pct"/>
            <w:noWrap/>
            <w:hideMark/>
          </w:tcPr>
          <w:p w14:paraId="74175569"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16.2%</w:t>
            </w:r>
          </w:p>
        </w:tc>
      </w:tr>
      <w:tr w:rsidR="00BA1E77" w:rsidRPr="00C62602" w14:paraId="4752B696" w14:textId="77777777" w:rsidTr="00BA1E77">
        <w:trPr>
          <w:trHeight w:val="288"/>
        </w:trPr>
        <w:tc>
          <w:tcPr>
            <w:cnfStyle w:val="001000000000" w:firstRow="0" w:lastRow="0" w:firstColumn="1" w:lastColumn="0" w:oddVBand="0" w:evenVBand="0" w:oddHBand="0" w:evenHBand="0" w:firstRowFirstColumn="0" w:firstRowLastColumn="0" w:lastRowFirstColumn="0" w:lastRowLastColumn="0"/>
            <w:tcW w:w="288" w:type="pct"/>
            <w:noWrap/>
            <w:hideMark/>
          </w:tcPr>
          <w:p w14:paraId="03E6ECB0" w14:textId="77777777" w:rsidR="00BA1E77" w:rsidRPr="00C62602" w:rsidRDefault="00BA1E77" w:rsidP="00C70998">
            <w:pPr>
              <w:pStyle w:val="JRCTabletext10pt"/>
            </w:pPr>
            <w:r w:rsidRPr="00C62602">
              <w:t>2</w:t>
            </w:r>
          </w:p>
        </w:tc>
        <w:tc>
          <w:tcPr>
            <w:tcW w:w="1968" w:type="pct"/>
            <w:noWrap/>
            <w:hideMark/>
          </w:tcPr>
          <w:p w14:paraId="4D12BCE8"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Physics</w:t>
            </w:r>
          </w:p>
        </w:tc>
        <w:tc>
          <w:tcPr>
            <w:tcW w:w="2359" w:type="pct"/>
            <w:noWrap/>
            <w:hideMark/>
          </w:tcPr>
          <w:p w14:paraId="62E5E71F"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509</w:t>
            </w:r>
          </w:p>
        </w:tc>
        <w:tc>
          <w:tcPr>
            <w:tcW w:w="385" w:type="pct"/>
            <w:noWrap/>
            <w:hideMark/>
          </w:tcPr>
          <w:p w14:paraId="28E07E1C"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7.7%</w:t>
            </w:r>
          </w:p>
        </w:tc>
      </w:tr>
      <w:tr w:rsidR="00BA1E77" w:rsidRPr="00C62602" w14:paraId="3618EE1A" w14:textId="77777777" w:rsidTr="00BA1E77">
        <w:trPr>
          <w:trHeight w:val="288"/>
        </w:trPr>
        <w:tc>
          <w:tcPr>
            <w:cnfStyle w:val="001000000000" w:firstRow="0" w:lastRow="0" w:firstColumn="1" w:lastColumn="0" w:oddVBand="0" w:evenVBand="0" w:oddHBand="0" w:evenHBand="0" w:firstRowFirstColumn="0" w:firstRowLastColumn="0" w:lastRowFirstColumn="0" w:lastRowLastColumn="0"/>
            <w:tcW w:w="288" w:type="pct"/>
            <w:noWrap/>
            <w:hideMark/>
          </w:tcPr>
          <w:p w14:paraId="4B337E18" w14:textId="77777777" w:rsidR="00BA1E77" w:rsidRPr="00C62602" w:rsidRDefault="00BA1E77" w:rsidP="00C70998">
            <w:pPr>
              <w:pStyle w:val="JRCTabletext10pt"/>
            </w:pPr>
            <w:r w:rsidRPr="00C62602">
              <w:t>3</w:t>
            </w:r>
          </w:p>
        </w:tc>
        <w:tc>
          <w:tcPr>
            <w:tcW w:w="1968" w:type="pct"/>
            <w:noWrap/>
            <w:hideMark/>
          </w:tcPr>
          <w:p w14:paraId="11794440"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Computer Science</w:t>
            </w:r>
          </w:p>
        </w:tc>
        <w:tc>
          <w:tcPr>
            <w:tcW w:w="2359" w:type="pct"/>
            <w:noWrap/>
            <w:hideMark/>
          </w:tcPr>
          <w:p w14:paraId="743C0372"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482</w:t>
            </w:r>
          </w:p>
        </w:tc>
        <w:tc>
          <w:tcPr>
            <w:tcW w:w="385" w:type="pct"/>
            <w:noWrap/>
            <w:hideMark/>
          </w:tcPr>
          <w:p w14:paraId="3D5D0F18"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7.3%</w:t>
            </w:r>
          </w:p>
        </w:tc>
      </w:tr>
      <w:tr w:rsidR="00BA1E77" w:rsidRPr="00C62602" w14:paraId="3CFFB39E" w14:textId="77777777" w:rsidTr="00BA1E77">
        <w:trPr>
          <w:trHeight w:val="288"/>
        </w:trPr>
        <w:tc>
          <w:tcPr>
            <w:cnfStyle w:val="001000000000" w:firstRow="0" w:lastRow="0" w:firstColumn="1" w:lastColumn="0" w:oddVBand="0" w:evenVBand="0" w:oddHBand="0" w:evenHBand="0" w:firstRowFirstColumn="0" w:firstRowLastColumn="0" w:lastRowFirstColumn="0" w:lastRowLastColumn="0"/>
            <w:tcW w:w="288" w:type="pct"/>
            <w:noWrap/>
            <w:hideMark/>
          </w:tcPr>
          <w:p w14:paraId="757321E0" w14:textId="77777777" w:rsidR="00BA1E77" w:rsidRPr="00C62602" w:rsidRDefault="00BA1E77" w:rsidP="00C70998">
            <w:pPr>
              <w:pStyle w:val="JRCTabletext10pt"/>
            </w:pPr>
            <w:r w:rsidRPr="00C62602">
              <w:t>4</w:t>
            </w:r>
          </w:p>
        </w:tc>
        <w:tc>
          <w:tcPr>
            <w:tcW w:w="1968" w:type="pct"/>
            <w:noWrap/>
            <w:hideMark/>
          </w:tcPr>
          <w:p w14:paraId="5CE784AF"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Environmental Sciences Ecology</w:t>
            </w:r>
          </w:p>
        </w:tc>
        <w:tc>
          <w:tcPr>
            <w:tcW w:w="2359" w:type="pct"/>
            <w:noWrap/>
            <w:hideMark/>
          </w:tcPr>
          <w:p w14:paraId="38DA2696"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380</w:t>
            </w:r>
          </w:p>
        </w:tc>
        <w:tc>
          <w:tcPr>
            <w:tcW w:w="385" w:type="pct"/>
            <w:noWrap/>
            <w:hideMark/>
          </w:tcPr>
          <w:p w14:paraId="24070962"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5.7%</w:t>
            </w:r>
          </w:p>
        </w:tc>
      </w:tr>
      <w:tr w:rsidR="00BA1E77" w:rsidRPr="00C62602" w14:paraId="74957F1C" w14:textId="77777777" w:rsidTr="00BA1E77">
        <w:trPr>
          <w:trHeight w:val="288"/>
        </w:trPr>
        <w:tc>
          <w:tcPr>
            <w:cnfStyle w:val="001000000000" w:firstRow="0" w:lastRow="0" w:firstColumn="1" w:lastColumn="0" w:oddVBand="0" w:evenVBand="0" w:oddHBand="0" w:evenHBand="0" w:firstRowFirstColumn="0" w:firstRowLastColumn="0" w:lastRowFirstColumn="0" w:lastRowLastColumn="0"/>
            <w:tcW w:w="288" w:type="pct"/>
            <w:noWrap/>
            <w:hideMark/>
          </w:tcPr>
          <w:p w14:paraId="389A8506" w14:textId="77777777" w:rsidR="00BA1E77" w:rsidRPr="00C62602" w:rsidRDefault="00BA1E77" w:rsidP="00C70998">
            <w:pPr>
              <w:pStyle w:val="JRCTabletext10pt"/>
            </w:pPr>
            <w:r w:rsidRPr="00C62602">
              <w:t>5</w:t>
            </w:r>
          </w:p>
        </w:tc>
        <w:tc>
          <w:tcPr>
            <w:tcW w:w="1968" w:type="pct"/>
            <w:noWrap/>
            <w:hideMark/>
          </w:tcPr>
          <w:p w14:paraId="1AEDFBBE"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Mathematics</w:t>
            </w:r>
          </w:p>
        </w:tc>
        <w:tc>
          <w:tcPr>
            <w:tcW w:w="2359" w:type="pct"/>
            <w:noWrap/>
            <w:hideMark/>
          </w:tcPr>
          <w:p w14:paraId="36DF6338"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368</w:t>
            </w:r>
          </w:p>
        </w:tc>
        <w:tc>
          <w:tcPr>
            <w:tcW w:w="385" w:type="pct"/>
            <w:noWrap/>
            <w:hideMark/>
          </w:tcPr>
          <w:p w14:paraId="32EE21DA"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5.6%</w:t>
            </w:r>
          </w:p>
        </w:tc>
      </w:tr>
      <w:tr w:rsidR="00BA1E77" w:rsidRPr="00C62602" w14:paraId="3E1A1230" w14:textId="77777777" w:rsidTr="00BA1E77">
        <w:trPr>
          <w:trHeight w:val="288"/>
        </w:trPr>
        <w:tc>
          <w:tcPr>
            <w:cnfStyle w:val="001000000000" w:firstRow="0" w:lastRow="0" w:firstColumn="1" w:lastColumn="0" w:oddVBand="0" w:evenVBand="0" w:oddHBand="0" w:evenHBand="0" w:firstRowFirstColumn="0" w:firstRowLastColumn="0" w:lastRowFirstColumn="0" w:lastRowLastColumn="0"/>
            <w:tcW w:w="288" w:type="pct"/>
            <w:noWrap/>
            <w:hideMark/>
          </w:tcPr>
          <w:p w14:paraId="263A49FD" w14:textId="77777777" w:rsidR="00BA1E77" w:rsidRPr="00C62602" w:rsidRDefault="00BA1E77" w:rsidP="00C70998">
            <w:pPr>
              <w:pStyle w:val="JRCTabletext10pt"/>
            </w:pPr>
            <w:r w:rsidRPr="00C62602">
              <w:t>6</w:t>
            </w:r>
          </w:p>
        </w:tc>
        <w:tc>
          <w:tcPr>
            <w:tcW w:w="1968" w:type="pct"/>
            <w:noWrap/>
            <w:hideMark/>
          </w:tcPr>
          <w:p w14:paraId="25352948"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Linguistics</w:t>
            </w:r>
          </w:p>
        </w:tc>
        <w:tc>
          <w:tcPr>
            <w:tcW w:w="2359" w:type="pct"/>
            <w:noWrap/>
            <w:hideMark/>
          </w:tcPr>
          <w:p w14:paraId="037D75BE"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299</w:t>
            </w:r>
          </w:p>
        </w:tc>
        <w:tc>
          <w:tcPr>
            <w:tcW w:w="385" w:type="pct"/>
            <w:noWrap/>
            <w:hideMark/>
          </w:tcPr>
          <w:p w14:paraId="7F1AB18B"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4.5%</w:t>
            </w:r>
          </w:p>
        </w:tc>
      </w:tr>
      <w:tr w:rsidR="00BA1E77" w:rsidRPr="00C62602" w14:paraId="5C468216" w14:textId="77777777" w:rsidTr="00BA1E77">
        <w:trPr>
          <w:trHeight w:val="288"/>
        </w:trPr>
        <w:tc>
          <w:tcPr>
            <w:cnfStyle w:val="001000000000" w:firstRow="0" w:lastRow="0" w:firstColumn="1" w:lastColumn="0" w:oddVBand="0" w:evenVBand="0" w:oddHBand="0" w:evenHBand="0" w:firstRowFirstColumn="0" w:firstRowLastColumn="0" w:lastRowFirstColumn="0" w:lastRowLastColumn="0"/>
            <w:tcW w:w="288" w:type="pct"/>
            <w:noWrap/>
            <w:hideMark/>
          </w:tcPr>
          <w:p w14:paraId="09389C79" w14:textId="77777777" w:rsidR="00BA1E77" w:rsidRPr="00C62602" w:rsidRDefault="00BA1E77" w:rsidP="00C70998">
            <w:pPr>
              <w:pStyle w:val="JRCTabletext10pt"/>
            </w:pPr>
            <w:r w:rsidRPr="00C62602">
              <w:t>7</w:t>
            </w:r>
          </w:p>
        </w:tc>
        <w:tc>
          <w:tcPr>
            <w:tcW w:w="1968" w:type="pct"/>
            <w:noWrap/>
            <w:hideMark/>
          </w:tcPr>
          <w:p w14:paraId="5BD78A0C"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Business Economics</w:t>
            </w:r>
          </w:p>
        </w:tc>
        <w:tc>
          <w:tcPr>
            <w:tcW w:w="2359" w:type="pct"/>
            <w:noWrap/>
            <w:hideMark/>
          </w:tcPr>
          <w:p w14:paraId="76D7E21F"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295</w:t>
            </w:r>
          </w:p>
        </w:tc>
        <w:tc>
          <w:tcPr>
            <w:tcW w:w="385" w:type="pct"/>
            <w:noWrap/>
            <w:hideMark/>
          </w:tcPr>
          <w:p w14:paraId="530AB174"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4.5%</w:t>
            </w:r>
          </w:p>
        </w:tc>
      </w:tr>
      <w:tr w:rsidR="00BA1E77" w:rsidRPr="00C62602" w14:paraId="681B0DFB" w14:textId="77777777" w:rsidTr="00BA1E77">
        <w:trPr>
          <w:trHeight w:val="288"/>
        </w:trPr>
        <w:tc>
          <w:tcPr>
            <w:cnfStyle w:val="001000000000" w:firstRow="0" w:lastRow="0" w:firstColumn="1" w:lastColumn="0" w:oddVBand="0" w:evenVBand="0" w:oddHBand="0" w:evenHBand="0" w:firstRowFirstColumn="0" w:firstRowLastColumn="0" w:lastRowFirstColumn="0" w:lastRowLastColumn="0"/>
            <w:tcW w:w="288" w:type="pct"/>
            <w:noWrap/>
            <w:hideMark/>
          </w:tcPr>
          <w:p w14:paraId="17F962C2" w14:textId="77777777" w:rsidR="00BA1E77" w:rsidRPr="00C62602" w:rsidRDefault="00BA1E77" w:rsidP="00C70998">
            <w:pPr>
              <w:pStyle w:val="JRCTabletext10pt"/>
            </w:pPr>
            <w:r w:rsidRPr="00C62602">
              <w:t>8</w:t>
            </w:r>
          </w:p>
        </w:tc>
        <w:tc>
          <w:tcPr>
            <w:tcW w:w="1968" w:type="pct"/>
            <w:noWrap/>
            <w:hideMark/>
          </w:tcPr>
          <w:p w14:paraId="554E5B02"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General Internal Medicine</w:t>
            </w:r>
          </w:p>
        </w:tc>
        <w:tc>
          <w:tcPr>
            <w:tcW w:w="2359" w:type="pct"/>
            <w:noWrap/>
            <w:hideMark/>
          </w:tcPr>
          <w:p w14:paraId="3A062DD9"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267</w:t>
            </w:r>
          </w:p>
        </w:tc>
        <w:tc>
          <w:tcPr>
            <w:tcW w:w="385" w:type="pct"/>
            <w:noWrap/>
            <w:hideMark/>
          </w:tcPr>
          <w:p w14:paraId="1A19BAAC"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4.0%</w:t>
            </w:r>
          </w:p>
        </w:tc>
      </w:tr>
      <w:tr w:rsidR="00BA1E77" w:rsidRPr="00C62602" w14:paraId="552BBE38" w14:textId="77777777" w:rsidTr="00BA1E77">
        <w:trPr>
          <w:trHeight w:val="288"/>
        </w:trPr>
        <w:tc>
          <w:tcPr>
            <w:cnfStyle w:val="001000000000" w:firstRow="0" w:lastRow="0" w:firstColumn="1" w:lastColumn="0" w:oddVBand="0" w:evenVBand="0" w:oddHBand="0" w:evenHBand="0" w:firstRowFirstColumn="0" w:firstRowLastColumn="0" w:lastRowFirstColumn="0" w:lastRowLastColumn="0"/>
            <w:tcW w:w="288" w:type="pct"/>
            <w:noWrap/>
            <w:hideMark/>
          </w:tcPr>
          <w:p w14:paraId="70F44A8B" w14:textId="77777777" w:rsidR="00BA1E77" w:rsidRPr="00C62602" w:rsidRDefault="00BA1E77" w:rsidP="00C70998">
            <w:pPr>
              <w:pStyle w:val="JRCTabletext10pt"/>
            </w:pPr>
            <w:r w:rsidRPr="00C62602">
              <w:t>9</w:t>
            </w:r>
          </w:p>
        </w:tc>
        <w:tc>
          <w:tcPr>
            <w:tcW w:w="1968" w:type="pct"/>
            <w:noWrap/>
            <w:hideMark/>
          </w:tcPr>
          <w:p w14:paraId="66DCBA11"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Telecommunications</w:t>
            </w:r>
          </w:p>
        </w:tc>
        <w:tc>
          <w:tcPr>
            <w:tcW w:w="2359" w:type="pct"/>
            <w:noWrap/>
            <w:hideMark/>
          </w:tcPr>
          <w:p w14:paraId="3CDB1CE1"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259</w:t>
            </w:r>
          </w:p>
        </w:tc>
        <w:tc>
          <w:tcPr>
            <w:tcW w:w="385" w:type="pct"/>
            <w:noWrap/>
            <w:hideMark/>
          </w:tcPr>
          <w:p w14:paraId="3CEFC37F"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3.9%</w:t>
            </w:r>
          </w:p>
        </w:tc>
      </w:tr>
      <w:tr w:rsidR="00BA1E77" w:rsidRPr="00C62602" w14:paraId="529017E6" w14:textId="77777777" w:rsidTr="00BA1E77">
        <w:trPr>
          <w:trHeight w:val="288"/>
        </w:trPr>
        <w:tc>
          <w:tcPr>
            <w:cnfStyle w:val="001000000000" w:firstRow="0" w:lastRow="0" w:firstColumn="1" w:lastColumn="0" w:oddVBand="0" w:evenVBand="0" w:oddHBand="0" w:evenHBand="0" w:firstRowFirstColumn="0" w:firstRowLastColumn="0" w:lastRowFirstColumn="0" w:lastRowLastColumn="0"/>
            <w:tcW w:w="288" w:type="pct"/>
            <w:noWrap/>
            <w:hideMark/>
          </w:tcPr>
          <w:p w14:paraId="0A2D5771" w14:textId="77777777" w:rsidR="00BA1E77" w:rsidRPr="00C62602" w:rsidRDefault="00BA1E77" w:rsidP="00C70998">
            <w:pPr>
              <w:pStyle w:val="JRCTabletext10pt"/>
            </w:pPr>
            <w:r w:rsidRPr="00C62602">
              <w:t>10</w:t>
            </w:r>
          </w:p>
        </w:tc>
        <w:tc>
          <w:tcPr>
            <w:tcW w:w="1968" w:type="pct"/>
            <w:noWrap/>
            <w:hideMark/>
          </w:tcPr>
          <w:p w14:paraId="08804F83"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Chemistry</w:t>
            </w:r>
          </w:p>
        </w:tc>
        <w:tc>
          <w:tcPr>
            <w:tcW w:w="2359" w:type="pct"/>
            <w:noWrap/>
            <w:hideMark/>
          </w:tcPr>
          <w:p w14:paraId="3D7716AD"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215</w:t>
            </w:r>
          </w:p>
        </w:tc>
        <w:tc>
          <w:tcPr>
            <w:tcW w:w="385" w:type="pct"/>
            <w:noWrap/>
            <w:hideMark/>
          </w:tcPr>
          <w:p w14:paraId="1CADCCA2"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3.3%</w:t>
            </w:r>
          </w:p>
        </w:tc>
      </w:tr>
      <w:tr w:rsidR="00BA1E77" w:rsidRPr="00C62602" w14:paraId="6B2EA196" w14:textId="77777777" w:rsidTr="00BA1E77">
        <w:trPr>
          <w:trHeight w:val="288"/>
        </w:trPr>
        <w:tc>
          <w:tcPr>
            <w:cnfStyle w:val="001000000000" w:firstRow="0" w:lastRow="0" w:firstColumn="1" w:lastColumn="0" w:oddVBand="0" w:evenVBand="0" w:oddHBand="0" w:evenHBand="0" w:firstRowFirstColumn="0" w:firstRowLastColumn="0" w:lastRowFirstColumn="0" w:lastRowLastColumn="0"/>
            <w:tcW w:w="288" w:type="pct"/>
            <w:noWrap/>
            <w:hideMark/>
          </w:tcPr>
          <w:p w14:paraId="7CF1C378" w14:textId="77777777" w:rsidR="00BA1E77" w:rsidRPr="00C62602" w:rsidRDefault="00BA1E77" w:rsidP="00C70998">
            <w:pPr>
              <w:pStyle w:val="JRCTabletext10pt"/>
            </w:pPr>
            <w:r w:rsidRPr="00C62602">
              <w:t>11</w:t>
            </w:r>
          </w:p>
        </w:tc>
        <w:tc>
          <w:tcPr>
            <w:tcW w:w="1968" w:type="pct"/>
            <w:noWrap/>
            <w:hideMark/>
          </w:tcPr>
          <w:p w14:paraId="61E4C887"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Arts Humanities Other Topics</w:t>
            </w:r>
          </w:p>
        </w:tc>
        <w:tc>
          <w:tcPr>
            <w:tcW w:w="2359" w:type="pct"/>
            <w:noWrap/>
            <w:hideMark/>
          </w:tcPr>
          <w:p w14:paraId="20EDDFA7"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204</w:t>
            </w:r>
          </w:p>
        </w:tc>
        <w:tc>
          <w:tcPr>
            <w:tcW w:w="385" w:type="pct"/>
            <w:noWrap/>
            <w:hideMark/>
          </w:tcPr>
          <w:p w14:paraId="60A9BFC4"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3.1%</w:t>
            </w:r>
          </w:p>
        </w:tc>
      </w:tr>
      <w:tr w:rsidR="00BA1E77" w:rsidRPr="00C62602" w14:paraId="086A404F" w14:textId="77777777" w:rsidTr="00BA1E77">
        <w:trPr>
          <w:trHeight w:val="288"/>
        </w:trPr>
        <w:tc>
          <w:tcPr>
            <w:cnfStyle w:val="001000000000" w:firstRow="0" w:lastRow="0" w:firstColumn="1" w:lastColumn="0" w:oddVBand="0" w:evenVBand="0" w:oddHBand="0" w:evenHBand="0" w:firstRowFirstColumn="0" w:firstRowLastColumn="0" w:lastRowFirstColumn="0" w:lastRowLastColumn="0"/>
            <w:tcW w:w="288" w:type="pct"/>
            <w:noWrap/>
            <w:hideMark/>
          </w:tcPr>
          <w:p w14:paraId="76F9DA18" w14:textId="77777777" w:rsidR="00BA1E77" w:rsidRPr="00C62602" w:rsidRDefault="00BA1E77" w:rsidP="00C70998">
            <w:pPr>
              <w:pStyle w:val="JRCTabletext10pt"/>
            </w:pPr>
            <w:r w:rsidRPr="00C62602">
              <w:t>12</w:t>
            </w:r>
          </w:p>
        </w:tc>
        <w:tc>
          <w:tcPr>
            <w:tcW w:w="1968" w:type="pct"/>
            <w:noWrap/>
            <w:hideMark/>
          </w:tcPr>
          <w:p w14:paraId="6A30CC6B"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Science Technology Other Topics</w:t>
            </w:r>
          </w:p>
        </w:tc>
        <w:tc>
          <w:tcPr>
            <w:tcW w:w="2359" w:type="pct"/>
            <w:noWrap/>
            <w:hideMark/>
          </w:tcPr>
          <w:p w14:paraId="6D1F0EE4"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178</w:t>
            </w:r>
          </w:p>
        </w:tc>
        <w:tc>
          <w:tcPr>
            <w:tcW w:w="385" w:type="pct"/>
            <w:noWrap/>
            <w:hideMark/>
          </w:tcPr>
          <w:p w14:paraId="5B8B41DA"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2.7%</w:t>
            </w:r>
          </w:p>
        </w:tc>
      </w:tr>
      <w:tr w:rsidR="00BA1E77" w:rsidRPr="00C62602" w14:paraId="3362136E" w14:textId="77777777" w:rsidTr="00BA1E77">
        <w:trPr>
          <w:trHeight w:val="288"/>
        </w:trPr>
        <w:tc>
          <w:tcPr>
            <w:cnfStyle w:val="001000000000" w:firstRow="0" w:lastRow="0" w:firstColumn="1" w:lastColumn="0" w:oddVBand="0" w:evenVBand="0" w:oddHBand="0" w:evenHBand="0" w:firstRowFirstColumn="0" w:firstRowLastColumn="0" w:lastRowFirstColumn="0" w:lastRowLastColumn="0"/>
            <w:tcW w:w="288" w:type="pct"/>
            <w:noWrap/>
            <w:hideMark/>
          </w:tcPr>
          <w:p w14:paraId="6F31D0B1" w14:textId="77777777" w:rsidR="00BA1E77" w:rsidRPr="00C62602" w:rsidRDefault="00BA1E77" w:rsidP="00C70998">
            <w:pPr>
              <w:pStyle w:val="JRCTabletext10pt"/>
            </w:pPr>
            <w:r w:rsidRPr="00C62602">
              <w:t>13</w:t>
            </w:r>
          </w:p>
        </w:tc>
        <w:tc>
          <w:tcPr>
            <w:tcW w:w="1968" w:type="pct"/>
            <w:noWrap/>
            <w:hideMark/>
          </w:tcPr>
          <w:p w14:paraId="652006C4"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Marine Freshwater Biology</w:t>
            </w:r>
          </w:p>
        </w:tc>
        <w:tc>
          <w:tcPr>
            <w:tcW w:w="2359" w:type="pct"/>
            <w:noWrap/>
            <w:hideMark/>
          </w:tcPr>
          <w:p w14:paraId="18B07FC5"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170</w:t>
            </w:r>
          </w:p>
        </w:tc>
        <w:tc>
          <w:tcPr>
            <w:tcW w:w="385" w:type="pct"/>
            <w:noWrap/>
            <w:hideMark/>
          </w:tcPr>
          <w:p w14:paraId="462277FE"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2.6%</w:t>
            </w:r>
          </w:p>
        </w:tc>
      </w:tr>
      <w:tr w:rsidR="00BA1E77" w:rsidRPr="00C62602" w14:paraId="5AE9EF02" w14:textId="77777777" w:rsidTr="00BA1E77">
        <w:trPr>
          <w:trHeight w:val="288"/>
        </w:trPr>
        <w:tc>
          <w:tcPr>
            <w:cnfStyle w:val="001000000000" w:firstRow="0" w:lastRow="0" w:firstColumn="1" w:lastColumn="0" w:oddVBand="0" w:evenVBand="0" w:oddHBand="0" w:evenHBand="0" w:firstRowFirstColumn="0" w:firstRowLastColumn="0" w:lastRowFirstColumn="0" w:lastRowLastColumn="0"/>
            <w:tcW w:w="288" w:type="pct"/>
            <w:noWrap/>
            <w:hideMark/>
          </w:tcPr>
          <w:p w14:paraId="549039BA" w14:textId="77777777" w:rsidR="00BA1E77" w:rsidRPr="00C62602" w:rsidRDefault="00BA1E77" w:rsidP="00C70998">
            <w:pPr>
              <w:pStyle w:val="JRCTabletext10pt"/>
            </w:pPr>
            <w:r w:rsidRPr="00C62602">
              <w:t>14</w:t>
            </w:r>
          </w:p>
        </w:tc>
        <w:tc>
          <w:tcPr>
            <w:tcW w:w="1968" w:type="pct"/>
            <w:noWrap/>
            <w:hideMark/>
          </w:tcPr>
          <w:p w14:paraId="3C037B73"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Zoology</w:t>
            </w:r>
          </w:p>
        </w:tc>
        <w:tc>
          <w:tcPr>
            <w:tcW w:w="2359" w:type="pct"/>
            <w:noWrap/>
            <w:hideMark/>
          </w:tcPr>
          <w:p w14:paraId="6CA3AD50"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153</w:t>
            </w:r>
          </w:p>
        </w:tc>
        <w:tc>
          <w:tcPr>
            <w:tcW w:w="385" w:type="pct"/>
            <w:noWrap/>
            <w:hideMark/>
          </w:tcPr>
          <w:p w14:paraId="5E3CBB4A"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2.3%</w:t>
            </w:r>
          </w:p>
        </w:tc>
      </w:tr>
      <w:tr w:rsidR="00BA1E77" w:rsidRPr="00C62602" w14:paraId="02674031" w14:textId="77777777" w:rsidTr="00BA1E77">
        <w:trPr>
          <w:trHeight w:val="288"/>
        </w:trPr>
        <w:tc>
          <w:tcPr>
            <w:cnfStyle w:val="001000000000" w:firstRow="0" w:lastRow="0" w:firstColumn="1" w:lastColumn="0" w:oddVBand="0" w:evenVBand="0" w:oddHBand="0" w:evenHBand="0" w:firstRowFirstColumn="0" w:firstRowLastColumn="0" w:lastRowFirstColumn="0" w:lastRowLastColumn="0"/>
            <w:tcW w:w="288" w:type="pct"/>
            <w:noWrap/>
            <w:hideMark/>
          </w:tcPr>
          <w:p w14:paraId="5B82F37F" w14:textId="77777777" w:rsidR="00BA1E77" w:rsidRPr="00C62602" w:rsidRDefault="00BA1E77" w:rsidP="00C70998">
            <w:pPr>
              <w:pStyle w:val="JRCTabletext10pt"/>
            </w:pPr>
            <w:r w:rsidRPr="00C62602">
              <w:t>15</w:t>
            </w:r>
          </w:p>
        </w:tc>
        <w:tc>
          <w:tcPr>
            <w:tcW w:w="1968" w:type="pct"/>
            <w:noWrap/>
            <w:hideMark/>
          </w:tcPr>
          <w:p w14:paraId="49C42BD3"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Plant Sciences</w:t>
            </w:r>
          </w:p>
        </w:tc>
        <w:tc>
          <w:tcPr>
            <w:tcW w:w="2359" w:type="pct"/>
            <w:noWrap/>
            <w:hideMark/>
          </w:tcPr>
          <w:p w14:paraId="05D20B95"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151</w:t>
            </w:r>
          </w:p>
        </w:tc>
        <w:tc>
          <w:tcPr>
            <w:tcW w:w="385" w:type="pct"/>
            <w:noWrap/>
            <w:hideMark/>
          </w:tcPr>
          <w:p w14:paraId="66130302"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2.3%</w:t>
            </w:r>
          </w:p>
        </w:tc>
      </w:tr>
      <w:tr w:rsidR="00BA1E77" w:rsidRPr="00C62602" w14:paraId="36209267" w14:textId="77777777" w:rsidTr="00BA1E77">
        <w:trPr>
          <w:trHeight w:val="288"/>
        </w:trPr>
        <w:tc>
          <w:tcPr>
            <w:cnfStyle w:val="001000000000" w:firstRow="0" w:lastRow="0" w:firstColumn="1" w:lastColumn="0" w:oddVBand="0" w:evenVBand="0" w:oddHBand="0" w:evenHBand="0" w:firstRowFirstColumn="0" w:firstRowLastColumn="0" w:lastRowFirstColumn="0" w:lastRowLastColumn="0"/>
            <w:tcW w:w="288" w:type="pct"/>
            <w:noWrap/>
            <w:hideMark/>
          </w:tcPr>
          <w:p w14:paraId="4E1650D2" w14:textId="77777777" w:rsidR="00BA1E77" w:rsidRPr="00C62602" w:rsidRDefault="00BA1E77" w:rsidP="00C70998">
            <w:pPr>
              <w:pStyle w:val="JRCTabletext10pt"/>
            </w:pPr>
            <w:r w:rsidRPr="00C62602">
              <w:t>16</w:t>
            </w:r>
          </w:p>
        </w:tc>
        <w:tc>
          <w:tcPr>
            <w:tcW w:w="1968" w:type="pct"/>
            <w:noWrap/>
            <w:hideMark/>
          </w:tcPr>
          <w:p w14:paraId="49276AE6"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Agriculture</w:t>
            </w:r>
          </w:p>
        </w:tc>
        <w:tc>
          <w:tcPr>
            <w:tcW w:w="2359" w:type="pct"/>
            <w:noWrap/>
            <w:hideMark/>
          </w:tcPr>
          <w:p w14:paraId="083CC589"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143</w:t>
            </w:r>
          </w:p>
        </w:tc>
        <w:tc>
          <w:tcPr>
            <w:tcW w:w="385" w:type="pct"/>
            <w:noWrap/>
            <w:hideMark/>
          </w:tcPr>
          <w:p w14:paraId="1E72D34A"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2.2%</w:t>
            </w:r>
          </w:p>
        </w:tc>
      </w:tr>
      <w:tr w:rsidR="00BA1E77" w:rsidRPr="00C62602" w14:paraId="6D55B8EA" w14:textId="77777777" w:rsidTr="00BA1E77">
        <w:trPr>
          <w:trHeight w:val="288"/>
        </w:trPr>
        <w:tc>
          <w:tcPr>
            <w:cnfStyle w:val="001000000000" w:firstRow="0" w:lastRow="0" w:firstColumn="1" w:lastColumn="0" w:oddVBand="0" w:evenVBand="0" w:oddHBand="0" w:evenHBand="0" w:firstRowFirstColumn="0" w:firstRowLastColumn="0" w:lastRowFirstColumn="0" w:lastRowLastColumn="0"/>
            <w:tcW w:w="288" w:type="pct"/>
            <w:noWrap/>
            <w:hideMark/>
          </w:tcPr>
          <w:p w14:paraId="1A9D4F10" w14:textId="77777777" w:rsidR="00BA1E77" w:rsidRPr="00C62602" w:rsidRDefault="00BA1E77" w:rsidP="00C70998">
            <w:pPr>
              <w:pStyle w:val="JRCTabletext10pt"/>
            </w:pPr>
            <w:r w:rsidRPr="00C62602">
              <w:t>17</w:t>
            </w:r>
          </w:p>
        </w:tc>
        <w:tc>
          <w:tcPr>
            <w:tcW w:w="1968" w:type="pct"/>
            <w:noWrap/>
            <w:hideMark/>
          </w:tcPr>
          <w:p w14:paraId="1FEEE3E5"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Materials Science</w:t>
            </w:r>
          </w:p>
        </w:tc>
        <w:tc>
          <w:tcPr>
            <w:tcW w:w="2359" w:type="pct"/>
            <w:noWrap/>
            <w:hideMark/>
          </w:tcPr>
          <w:p w14:paraId="2AA97BD2"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141</w:t>
            </w:r>
          </w:p>
        </w:tc>
        <w:tc>
          <w:tcPr>
            <w:tcW w:w="385" w:type="pct"/>
            <w:noWrap/>
            <w:hideMark/>
          </w:tcPr>
          <w:p w14:paraId="42FFE089"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2.1%</w:t>
            </w:r>
          </w:p>
        </w:tc>
      </w:tr>
      <w:tr w:rsidR="00BA1E77" w:rsidRPr="00C62602" w14:paraId="7C3911AE" w14:textId="77777777" w:rsidTr="00BA1E77">
        <w:trPr>
          <w:trHeight w:val="288"/>
        </w:trPr>
        <w:tc>
          <w:tcPr>
            <w:cnfStyle w:val="001000000000" w:firstRow="0" w:lastRow="0" w:firstColumn="1" w:lastColumn="0" w:oddVBand="0" w:evenVBand="0" w:oddHBand="0" w:evenHBand="0" w:firstRowFirstColumn="0" w:firstRowLastColumn="0" w:lastRowFirstColumn="0" w:lastRowLastColumn="0"/>
            <w:tcW w:w="288" w:type="pct"/>
            <w:noWrap/>
            <w:hideMark/>
          </w:tcPr>
          <w:p w14:paraId="0CA3DE59" w14:textId="77777777" w:rsidR="00BA1E77" w:rsidRPr="00C62602" w:rsidRDefault="00BA1E77" w:rsidP="00C70998">
            <w:pPr>
              <w:pStyle w:val="JRCTabletext10pt"/>
            </w:pPr>
            <w:r w:rsidRPr="00C62602">
              <w:t>18</w:t>
            </w:r>
          </w:p>
        </w:tc>
        <w:tc>
          <w:tcPr>
            <w:tcW w:w="1968" w:type="pct"/>
            <w:noWrap/>
            <w:hideMark/>
          </w:tcPr>
          <w:p w14:paraId="0595C132"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Pharmacology Pharmacy</w:t>
            </w:r>
          </w:p>
        </w:tc>
        <w:tc>
          <w:tcPr>
            <w:tcW w:w="2359" w:type="pct"/>
            <w:noWrap/>
            <w:hideMark/>
          </w:tcPr>
          <w:p w14:paraId="5D214BDE"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136</w:t>
            </w:r>
          </w:p>
        </w:tc>
        <w:tc>
          <w:tcPr>
            <w:tcW w:w="385" w:type="pct"/>
            <w:noWrap/>
            <w:hideMark/>
          </w:tcPr>
          <w:p w14:paraId="61686009"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2.1%</w:t>
            </w:r>
          </w:p>
        </w:tc>
      </w:tr>
      <w:tr w:rsidR="00BA1E77" w:rsidRPr="00C62602" w14:paraId="04F88EE9" w14:textId="77777777" w:rsidTr="00BA1E77">
        <w:trPr>
          <w:trHeight w:val="288"/>
        </w:trPr>
        <w:tc>
          <w:tcPr>
            <w:cnfStyle w:val="001000000000" w:firstRow="0" w:lastRow="0" w:firstColumn="1" w:lastColumn="0" w:oddVBand="0" w:evenVBand="0" w:oddHBand="0" w:evenHBand="0" w:firstRowFirstColumn="0" w:firstRowLastColumn="0" w:lastRowFirstColumn="0" w:lastRowLastColumn="0"/>
            <w:tcW w:w="288" w:type="pct"/>
            <w:noWrap/>
            <w:hideMark/>
          </w:tcPr>
          <w:p w14:paraId="34684D4D" w14:textId="77777777" w:rsidR="00BA1E77" w:rsidRPr="00C62602" w:rsidRDefault="00BA1E77" w:rsidP="00C70998">
            <w:pPr>
              <w:pStyle w:val="JRCTabletext10pt"/>
            </w:pPr>
            <w:r w:rsidRPr="00C62602">
              <w:t>19</w:t>
            </w:r>
          </w:p>
        </w:tc>
        <w:tc>
          <w:tcPr>
            <w:tcW w:w="1968" w:type="pct"/>
            <w:noWrap/>
            <w:hideMark/>
          </w:tcPr>
          <w:p w14:paraId="206A5E03"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Public Environmental Occupational Health</w:t>
            </w:r>
          </w:p>
        </w:tc>
        <w:tc>
          <w:tcPr>
            <w:tcW w:w="2359" w:type="pct"/>
            <w:noWrap/>
            <w:hideMark/>
          </w:tcPr>
          <w:p w14:paraId="2BA5672B"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133</w:t>
            </w:r>
          </w:p>
        </w:tc>
        <w:tc>
          <w:tcPr>
            <w:tcW w:w="385" w:type="pct"/>
            <w:noWrap/>
            <w:hideMark/>
          </w:tcPr>
          <w:p w14:paraId="03739A71"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2.0%</w:t>
            </w:r>
          </w:p>
        </w:tc>
      </w:tr>
      <w:tr w:rsidR="00BA1E77" w:rsidRPr="00C62602" w14:paraId="095D0001" w14:textId="77777777" w:rsidTr="00BA1E77">
        <w:trPr>
          <w:trHeight w:val="288"/>
        </w:trPr>
        <w:tc>
          <w:tcPr>
            <w:cnfStyle w:val="001000000000" w:firstRow="0" w:lastRow="0" w:firstColumn="1" w:lastColumn="0" w:oddVBand="0" w:evenVBand="0" w:oddHBand="0" w:evenHBand="0" w:firstRowFirstColumn="0" w:firstRowLastColumn="0" w:lastRowFirstColumn="0" w:lastRowLastColumn="0"/>
            <w:tcW w:w="288" w:type="pct"/>
            <w:noWrap/>
            <w:hideMark/>
          </w:tcPr>
          <w:p w14:paraId="4E8F3A6A" w14:textId="77777777" w:rsidR="00BA1E77" w:rsidRPr="00C62602" w:rsidRDefault="00BA1E77" w:rsidP="00C70998">
            <w:pPr>
              <w:pStyle w:val="JRCTabletext10pt"/>
            </w:pPr>
            <w:r w:rsidRPr="00C62602">
              <w:t>20</w:t>
            </w:r>
          </w:p>
        </w:tc>
        <w:tc>
          <w:tcPr>
            <w:tcW w:w="1968" w:type="pct"/>
            <w:noWrap/>
            <w:hideMark/>
          </w:tcPr>
          <w:p w14:paraId="67C0D011"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Astronomy Astrophysics</w:t>
            </w:r>
          </w:p>
        </w:tc>
        <w:tc>
          <w:tcPr>
            <w:tcW w:w="2359" w:type="pct"/>
            <w:noWrap/>
            <w:hideMark/>
          </w:tcPr>
          <w:p w14:paraId="6AFB1B07"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102</w:t>
            </w:r>
          </w:p>
        </w:tc>
        <w:tc>
          <w:tcPr>
            <w:tcW w:w="385" w:type="pct"/>
            <w:noWrap/>
            <w:hideMark/>
          </w:tcPr>
          <w:p w14:paraId="3E48C93D"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1.5%</w:t>
            </w:r>
          </w:p>
        </w:tc>
      </w:tr>
      <w:tr w:rsidR="00BA1E77" w:rsidRPr="00C62602" w14:paraId="10B147C0" w14:textId="77777777" w:rsidTr="00BA1E77">
        <w:trPr>
          <w:trHeight w:val="288"/>
        </w:trPr>
        <w:tc>
          <w:tcPr>
            <w:cnfStyle w:val="001000000000" w:firstRow="0" w:lastRow="0" w:firstColumn="1" w:lastColumn="0" w:oddVBand="0" w:evenVBand="0" w:oddHBand="0" w:evenHBand="0" w:firstRowFirstColumn="0" w:firstRowLastColumn="0" w:lastRowFirstColumn="0" w:lastRowLastColumn="0"/>
            <w:tcW w:w="288" w:type="pct"/>
            <w:noWrap/>
            <w:hideMark/>
          </w:tcPr>
          <w:p w14:paraId="4FD5EDD8" w14:textId="77777777" w:rsidR="00BA1E77" w:rsidRPr="00C62602" w:rsidRDefault="00BA1E77" w:rsidP="00C70998">
            <w:pPr>
              <w:pStyle w:val="JRCTabletext10pt"/>
            </w:pPr>
            <w:r w:rsidRPr="00C62602">
              <w:t>21</w:t>
            </w:r>
          </w:p>
        </w:tc>
        <w:tc>
          <w:tcPr>
            <w:tcW w:w="1968" w:type="pct"/>
            <w:noWrap/>
            <w:hideMark/>
          </w:tcPr>
          <w:p w14:paraId="5D125C3F"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Cardiovascular System Cardiology</w:t>
            </w:r>
          </w:p>
        </w:tc>
        <w:tc>
          <w:tcPr>
            <w:tcW w:w="2359" w:type="pct"/>
            <w:noWrap/>
            <w:hideMark/>
          </w:tcPr>
          <w:p w14:paraId="2469C27E"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92</w:t>
            </w:r>
          </w:p>
        </w:tc>
        <w:tc>
          <w:tcPr>
            <w:tcW w:w="385" w:type="pct"/>
            <w:noWrap/>
            <w:hideMark/>
          </w:tcPr>
          <w:p w14:paraId="08571AF1"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1.4%</w:t>
            </w:r>
          </w:p>
        </w:tc>
      </w:tr>
      <w:tr w:rsidR="00BA1E77" w:rsidRPr="00C62602" w14:paraId="259C9D98" w14:textId="77777777" w:rsidTr="00BA1E77">
        <w:trPr>
          <w:trHeight w:val="288"/>
        </w:trPr>
        <w:tc>
          <w:tcPr>
            <w:cnfStyle w:val="001000000000" w:firstRow="0" w:lastRow="0" w:firstColumn="1" w:lastColumn="0" w:oddVBand="0" w:evenVBand="0" w:oddHBand="0" w:evenHBand="0" w:firstRowFirstColumn="0" w:firstRowLastColumn="0" w:lastRowFirstColumn="0" w:lastRowLastColumn="0"/>
            <w:tcW w:w="288" w:type="pct"/>
            <w:noWrap/>
            <w:hideMark/>
          </w:tcPr>
          <w:p w14:paraId="7C1A4D10" w14:textId="77777777" w:rsidR="00BA1E77" w:rsidRPr="00C62602" w:rsidRDefault="00BA1E77" w:rsidP="00C70998">
            <w:pPr>
              <w:pStyle w:val="JRCTabletext10pt"/>
            </w:pPr>
            <w:r w:rsidRPr="00C62602">
              <w:t>22</w:t>
            </w:r>
          </w:p>
        </w:tc>
        <w:tc>
          <w:tcPr>
            <w:tcW w:w="1968" w:type="pct"/>
            <w:noWrap/>
            <w:hideMark/>
          </w:tcPr>
          <w:p w14:paraId="180B677C"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Education Educational Research</w:t>
            </w:r>
          </w:p>
        </w:tc>
        <w:tc>
          <w:tcPr>
            <w:tcW w:w="2359" w:type="pct"/>
            <w:noWrap/>
            <w:hideMark/>
          </w:tcPr>
          <w:p w14:paraId="088DBF84"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91</w:t>
            </w:r>
          </w:p>
        </w:tc>
        <w:tc>
          <w:tcPr>
            <w:tcW w:w="385" w:type="pct"/>
            <w:noWrap/>
            <w:hideMark/>
          </w:tcPr>
          <w:p w14:paraId="40F8D8A9"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1.4%</w:t>
            </w:r>
          </w:p>
        </w:tc>
      </w:tr>
      <w:tr w:rsidR="00BA1E77" w:rsidRPr="00C62602" w14:paraId="6AC25518" w14:textId="77777777" w:rsidTr="00BA1E77">
        <w:trPr>
          <w:trHeight w:val="288"/>
        </w:trPr>
        <w:tc>
          <w:tcPr>
            <w:cnfStyle w:val="001000000000" w:firstRow="0" w:lastRow="0" w:firstColumn="1" w:lastColumn="0" w:oddVBand="0" w:evenVBand="0" w:oddHBand="0" w:evenHBand="0" w:firstRowFirstColumn="0" w:firstRowLastColumn="0" w:lastRowFirstColumn="0" w:lastRowLastColumn="0"/>
            <w:tcW w:w="288" w:type="pct"/>
            <w:noWrap/>
            <w:hideMark/>
          </w:tcPr>
          <w:p w14:paraId="04568DAA" w14:textId="77777777" w:rsidR="00BA1E77" w:rsidRPr="00C62602" w:rsidRDefault="00BA1E77" w:rsidP="00C70998">
            <w:pPr>
              <w:pStyle w:val="JRCTabletext10pt"/>
            </w:pPr>
            <w:r w:rsidRPr="00C62602">
              <w:t>23</w:t>
            </w:r>
          </w:p>
        </w:tc>
        <w:tc>
          <w:tcPr>
            <w:tcW w:w="1968" w:type="pct"/>
            <w:noWrap/>
            <w:hideMark/>
          </w:tcPr>
          <w:p w14:paraId="07856424"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Entomology</w:t>
            </w:r>
          </w:p>
        </w:tc>
        <w:tc>
          <w:tcPr>
            <w:tcW w:w="2359" w:type="pct"/>
            <w:noWrap/>
            <w:hideMark/>
          </w:tcPr>
          <w:p w14:paraId="235F6118"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86</w:t>
            </w:r>
          </w:p>
        </w:tc>
        <w:tc>
          <w:tcPr>
            <w:tcW w:w="385" w:type="pct"/>
            <w:noWrap/>
            <w:hideMark/>
          </w:tcPr>
          <w:p w14:paraId="1D1C890C"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1.3%</w:t>
            </w:r>
          </w:p>
        </w:tc>
      </w:tr>
      <w:tr w:rsidR="00BA1E77" w:rsidRPr="00C62602" w14:paraId="5BE58DD1" w14:textId="77777777" w:rsidTr="00BA1E77">
        <w:trPr>
          <w:trHeight w:val="288"/>
        </w:trPr>
        <w:tc>
          <w:tcPr>
            <w:cnfStyle w:val="001000000000" w:firstRow="0" w:lastRow="0" w:firstColumn="1" w:lastColumn="0" w:oddVBand="0" w:evenVBand="0" w:oddHBand="0" w:evenHBand="0" w:firstRowFirstColumn="0" w:firstRowLastColumn="0" w:lastRowFirstColumn="0" w:lastRowLastColumn="0"/>
            <w:tcW w:w="288" w:type="pct"/>
            <w:noWrap/>
            <w:hideMark/>
          </w:tcPr>
          <w:p w14:paraId="3C475B5A" w14:textId="77777777" w:rsidR="00BA1E77" w:rsidRPr="00C62602" w:rsidRDefault="00BA1E77" w:rsidP="00C70998">
            <w:pPr>
              <w:pStyle w:val="JRCTabletext10pt"/>
            </w:pPr>
            <w:r w:rsidRPr="00C62602">
              <w:t>24</w:t>
            </w:r>
          </w:p>
        </w:tc>
        <w:tc>
          <w:tcPr>
            <w:tcW w:w="1968" w:type="pct"/>
            <w:noWrap/>
            <w:hideMark/>
          </w:tcPr>
          <w:p w14:paraId="1888592D"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Biochemistry Molecular Biology</w:t>
            </w:r>
          </w:p>
        </w:tc>
        <w:tc>
          <w:tcPr>
            <w:tcW w:w="2359" w:type="pct"/>
            <w:noWrap/>
            <w:hideMark/>
          </w:tcPr>
          <w:p w14:paraId="41D1BFC8"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85</w:t>
            </w:r>
          </w:p>
        </w:tc>
        <w:tc>
          <w:tcPr>
            <w:tcW w:w="385" w:type="pct"/>
            <w:noWrap/>
            <w:hideMark/>
          </w:tcPr>
          <w:p w14:paraId="26B72A7C"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1.3%</w:t>
            </w:r>
          </w:p>
        </w:tc>
      </w:tr>
      <w:tr w:rsidR="00BA1E77" w:rsidRPr="00C62602" w14:paraId="213F1B05" w14:textId="77777777" w:rsidTr="00BA1E77">
        <w:trPr>
          <w:trHeight w:val="288"/>
        </w:trPr>
        <w:tc>
          <w:tcPr>
            <w:cnfStyle w:val="001000000000" w:firstRow="0" w:lastRow="0" w:firstColumn="1" w:lastColumn="0" w:oddVBand="0" w:evenVBand="0" w:oddHBand="0" w:evenHBand="0" w:firstRowFirstColumn="0" w:firstRowLastColumn="0" w:lastRowFirstColumn="0" w:lastRowLastColumn="0"/>
            <w:tcW w:w="288" w:type="pct"/>
            <w:noWrap/>
            <w:hideMark/>
          </w:tcPr>
          <w:p w14:paraId="107E82AA" w14:textId="77777777" w:rsidR="00BA1E77" w:rsidRPr="00C62602" w:rsidRDefault="00BA1E77" w:rsidP="00C70998">
            <w:pPr>
              <w:pStyle w:val="JRCTabletext10pt"/>
            </w:pPr>
            <w:r w:rsidRPr="00C62602">
              <w:t>25</w:t>
            </w:r>
          </w:p>
        </w:tc>
        <w:tc>
          <w:tcPr>
            <w:tcW w:w="1968" w:type="pct"/>
            <w:noWrap/>
            <w:hideMark/>
          </w:tcPr>
          <w:p w14:paraId="60677146"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Psychiatry</w:t>
            </w:r>
          </w:p>
        </w:tc>
        <w:tc>
          <w:tcPr>
            <w:tcW w:w="2359" w:type="pct"/>
            <w:noWrap/>
            <w:hideMark/>
          </w:tcPr>
          <w:p w14:paraId="7B716923"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84</w:t>
            </w:r>
          </w:p>
        </w:tc>
        <w:tc>
          <w:tcPr>
            <w:tcW w:w="385" w:type="pct"/>
            <w:noWrap/>
            <w:hideMark/>
          </w:tcPr>
          <w:p w14:paraId="48DB5455"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1.3%</w:t>
            </w:r>
          </w:p>
        </w:tc>
      </w:tr>
    </w:tbl>
    <w:p w14:paraId="0CFC5600" w14:textId="77777777" w:rsidR="00BA1E77" w:rsidRPr="005A554D" w:rsidRDefault="00BA1E77" w:rsidP="00BA1E77">
      <w:pPr>
        <w:pStyle w:val="JRCTablesource"/>
      </w:pPr>
      <w:r w:rsidRPr="00B90D75">
        <w:rPr>
          <w:b/>
          <w:bCs/>
        </w:rPr>
        <w:t>Source:</w:t>
      </w:r>
      <w:r w:rsidRPr="00DB00D1">
        <w:t xml:space="preserve"> </w:t>
      </w:r>
      <w:r>
        <w:t>A</w:t>
      </w:r>
      <w:r w:rsidRPr="005A554D">
        <w:t>uthor</w:t>
      </w:r>
      <w:r>
        <w:t>s</w:t>
      </w:r>
      <w:r w:rsidRPr="005A554D">
        <w:t>’ elaboration on ISI Web of Science.</w:t>
      </w:r>
    </w:p>
    <w:p w14:paraId="477C06E8" w14:textId="77777777" w:rsidR="00BA1E77" w:rsidRPr="00DB00D1" w:rsidRDefault="00BA1E77" w:rsidP="00BA1E77">
      <w:pPr>
        <w:pStyle w:val="JRCText"/>
      </w:pPr>
      <w:r w:rsidRPr="00DB00D1">
        <w:t>Figures 12 and 13 show the number of publications over the period considered (2010-2023) and the number of citations received by these publications. It is possible to notice the strong increase in terms of scientific publications, with a huge jump in 2015 from 304 to 484, to a peak in 2021 at 682 and then a</w:t>
      </w:r>
      <w:r>
        <w:rPr>
          <w:rFonts w:ascii="Calibri" w:hAnsi="Calibri" w:cs="Calibri"/>
        </w:rPr>
        <w:t> </w:t>
      </w:r>
      <w:r w:rsidRPr="00DB00D1">
        <w:t>small decline to 615 in 2023.</w:t>
      </w:r>
    </w:p>
    <w:p w14:paraId="7C21C200" w14:textId="77777777" w:rsidR="00BA1E77" w:rsidRPr="00DB00D1" w:rsidRDefault="00BA1E77" w:rsidP="00BA1E77">
      <w:pPr>
        <w:pStyle w:val="JRCFigurecaption"/>
      </w:pPr>
      <w:bookmarkStart w:id="43" w:name="_Toc220939008"/>
      <w:bookmarkStart w:id="44" w:name="_Toc221271691"/>
      <w:r w:rsidRPr="005C54AC">
        <w:rPr>
          <w:b/>
          <w:bCs/>
        </w:rPr>
        <w:lastRenderedPageBreak/>
        <w:t xml:space="preserve">Figure </w:t>
      </w:r>
      <w:r w:rsidRPr="005C54AC">
        <w:rPr>
          <w:b/>
          <w:bCs/>
        </w:rPr>
        <w:fldChar w:fldCharType="begin"/>
      </w:r>
      <w:r w:rsidRPr="005C54AC">
        <w:rPr>
          <w:b/>
          <w:bCs/>
        </w:rPr>
        <w:instrText xml:space="preserve"> SEQ Figure \* ARABIC </w:instrText>
      </w:r>
      <w:r w:rsidRPr="005C54AC">
        <w:rPr>
          <w:b/>
          <w:bCs/>
        </w:rPr>
        <w:fldChar w:fldCharType="separate"/>
      </w:r>
      <w:r>
        <w:rPr>
          <w:b/>
          <w:bCs/>
          <w:noProof/>
        </w:rPr>
        <w:t>12</w:t>
      </w:r>
      <w:r w:rsidRPr="005C54AC">
        <w:rPr>
          <w:b/>
          <w:bCs/>
        </w:rPr>
        <w:fldChar w:fldCharType="end"/>
      </w:r>
      <w:r>
        <w:rPr>
          <w:b/>
          <w:bCs/>
        </w:rPr>
        <w:t>.</w:t>
      </w:r>
      <w:r w:rsidRPr="00DB00D1">
        <w:t xml:space="preserve"> Scientific publications (2010-2023)</w:t>
      </w:r>
      <w:bookmarkEnd w:id="43"/>
      <w:bookmarkEnd w:id="44"/>
    </w:p>
    <w:p w14:paraId="361C8465" w14:textId="77777777" w:rsidR="00BA1E77" w:rsidRPr="00DB00D1" w:rsidRDefault="00BA1E77" w:rsidP="00BA1E77">
      <w:pPr>
        <w:pStyle w:val="JRCFigureplaceholder"/>
      </w:pPr>
      <w:r w:rsidRPr="00DB00D1">
        <w:rPr>
          <w:noProof/>
        </w:rPr>
        <w:drawing>
          <wp:inline distT="0" distB="0" distL="0" distR="0" wp14:anchorId="051525D0" wp14:editId="17585FDA">
            <wp:extent cx="6120000" cy="2520000"/>
            <wp:effectExtent l="0" t="0" r="14605" b="7620"/>
            <wp:docPr id="1890942356" name="Grafico 1">
              <a:extLst xmlns:a="http://schemas.openxmlformats.org/drawingml/2006/main">
                <a:ext uri="{FF2B5EF4-FFF2-40B4-BE49-F238E27FC236}">
                  <a16:creationId xmlns:a16="http://schemas.microsoft.com/office/drawing/2014/main" id="{4323F485-A1D9-6597-0101-05C009A5C8E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7F0FDD0C" w14:textId="77777777" w:rsidR="00BA1E77" w:rsidRPr="00DB00D1" w:rsidRDefault="00BA1E77" w:rsidP="00BA1E77">
      <w:pPr>
        <w:pStyle w:val="JRCFiguresource"/>
        <w:rPr>
          <w:i w:val="0"/>
          <w:iCs/>
        </w:rPr>
      </w:pPr>
      <w:r w:rsidRPr="00F73FD5">
        <w:rPr>
          <w:b/>
          <w:bCs/>
          <w:iCs/>
        </w:rPr>
        <w:t>Source:</w:t>
      </w:r>
      <w:r w:rsidRPr="00DB00D1">
        <w:t xml:space="preserve"> </w:t>
      </w:r>
      <w:r>
        <w:rPr>
          <w:iCs/>
        </w:rPr>
        <w:t>A</w:t>
      </w:r>
      <w:r w:rsidRPr="00DB00D1">
        <w:rPr>
          <w:iCs/>
        </w:rPr>
        <w:t xml:space="preserve">uthor’s elaboration on ISI Web of </w:t>
      </w:r>
      <w:r w:rsidRPr="005A554D">
        <w:rPr>
          <w:iCs/>
          <w:sz w:val="20"/>
          <w:szCs w:val="20"/>
        </w:rPr>
        <w:t>Science</w:t>
      </w:r>
    </w:p>
    <w:p w14:paraId="1EA004B5" w14:textId="77777777" w:rsidR="00BA1E77" w:rsidRPr="00DB00D1" w:rsidRDefault="00BA1E77" w:rsidP="00BA1E77">
      <w:pPr>
        <w:pStyle w:val="JRCFigurecaption"/>
      </w:pPr>
      <w:bookmarkStart w:id="45" w:name="_Toc220939009"/>
      <w:bookmarkStart w:id="46" w:name="_Toc221271692"/>
      <w:r w:rsidRPr="005C54AC">
        <w:rPr>
          <w:b/>
          <w:bCs/>
        </w:rPr>
        <w:t xml:space="preserve">Figure </w:t>
      </w:r>
      <w:r w:rsidRPr="005C54AC">
        <w:rPr>
          <w:b/>
          <w:bCs/>
        </w:rPr>
        <w:fldChar w:fldCharType="begin"/>
      </w:r>
      <w:r w:rsidRPr="005C54AC">
        <w:rPr>
          <w:b/>
          <w:bCs/>
        </w:rPr>
        <w:instrText xml:space="preserve"> SEQ Figure \* ARABIC </w:instrText>
      </w:r>
      <w:r w:rsidRPr="005C54AC">
        <w:rPr>
          <w:b/>
          <w:bCs/>
        </w:rPr>
        <w:fldChar w:fldCharType="separate"/>
      </w:r>
      <w:r>
        <w:rPr>
          <w:b/>
          <w:bCs/>
          <w:noProof/>
        </w:rPr>
        <w:t>13</w:t>
      </w:r>
      <w:r w:rsidRPr="005C54AC">
        <w:rPr>
          <w:b/>
          <w:bCs/>
        </w:rPr>
        <w:fldChar w:fldCharType="end"/>
      </w:r>
      <w:r w:rsidRPr="005C54AC">
        <w:rPr>
          <w:b/>
          <w:bCs/>
        </w:rPr>
        <w:t>.</w:t>
      </w:r>
      <w:r w:rsidRPr="00DB00D1">
        <w:t xml:space="preserve"> Yearly citations of the Scientific publications (2010-2023)</w:t>
      </w:r>
      <w:bookmarkEnd w:id="45"/>
      <w:bookmarkEnd w:id="46"/>
    </w:p>
    <w:p w14:paraId="7BE1443B" w14:textId="77777777" w:rsidR="00BA1E77" w:rsidRPr="00DB00D1" w:rsidRDefault="00BA1E77" w:rsidP="00BA1E77">
      <w:pPr>
        <w:pStyle w:val="JRCFigureplaceholder"/>
      </w:pPr>
      <w:r w:rsidRPr="00F73FD5">
        <w:rPr>
          <w:noProof/>
        </w:rPr>
        <w:drawing>
          <wp:inline distT="0" distB="0" distL="0" distR="0" wp14:anchorId="3461E605" wp14:editId="2AC20DA8">
            <wp:extent cx="6120000" cy="2520000"/>
            <wp:effectExtent l="0" t="0" r="14605" b="7620"/>
            <wp:docPr id="1875810411" name="Grafico 1">
              <a:extLst xmlns:a="http://schemas.openxmlformats.org/drawingml/2006/main">
                <a:ext uri="{FF2B5EF4-FFF2-40B4-BE49-F238E27FC236}">
                  <a16:creationId xmlns:a16="http://schemas.microsoft.com/office/drawing/2014/main" id="{E9B93B1C-6A16-DB6D-0D7D-E30B88AB113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0C037948" w14:textId="77777777" w:rsidR="00BA1E77" w:rsidRPr="00DB00D1" w:rsidRDefault="00BA1E77" w:rsidP="00BA1E77">
      <w:pPr>
        <w:pStyle w:val="JRCFiguresource"/>
        <w:rPr>
          <w:i w:val="0"/>
          <w:iCs/>
        </w:rPr>
      </w:pPr>
      <w:r w:rsidRPr="00F73FD5">
        <w:rPr>
          <w:b/>
          <w:bCs/>
          <w:iCs/>
        </w:rPr>
        <w:t>Source:</w:t>
      </w:r>
      <w:r w:rsidRPr="00DB00D1">
        <w:t xml:space="preserve"> </w:t>
      </w:r>
      <w:r>
        <w:rPr>
          <w:iCs/>
        </w:rPr>
        <w:t>A</w:t>
      </w:r>
      <w:r w:rsidRPr="00DB00D1">
        <w:rPr>
          <w:iCs/>
        </w:rPr>
        <w:t>uthor</w:t>
      </w:r>
      <w:r>
        <w:rPr>
          <w:iCs/>
        </w:rPr>
        <w:t>s</w:t>
      </w:r>
      <w:r w:rsidRPr="00DB00D1">
        <w:rPr>
          <w:iCs/>
        </w:rPr>
        <w:t>’ elaboration on ISI Web of Science</w:t>
      </w:r>
    </w:p>
    <w:p w14:paraId="7C507DB8" w14:textId="77777777" w:rsidR="00BA1E77" w:rsidRDefault="00BA1E77" w:rsidP="00BA1E77">
      <w:pPr>
        <w:pStyle w:val="JRCText"/>
      </w:pPr>
      <w:r w:rsidRPr="0064078F">
        <w:t xml:space="preserve">To deeply analyse the scientific specialisation in Montenegro compared to the Western Balkan region (Montenegro, Albania, Bosnia and Herzegovina, North Macedonia, Serbia), a LQ has been measured following the procedure already used for the economic potential. </w:t>
      </w:r>
      <w:r>
        <w:br w:type="page"/>
      </w:r>
    </w:p>
    <w:p w14:paraId="36F3EF62" w14:textId="77777777" w:rsidR="00BA1E77" w:rsidRPr="00DB00D1" w:rsidRDefault="00BA1E77" w:rsidP="00BA1E77">
      <w:pPr>
        <w:pStyle w:val="JRCTabletitle"/>
      </w:pPr>
      <w:bookmarkStart w:id="47" w:name="_Toc220938956"/>
      <w:bookmarkStart w:id="48" w:name="_Toc221271666"/>
      <w:r w:rsidRPr="00C62602">
        <w:rPr>
          <w:b/>
          <w:bCs/>
        </w:rPr>
        <w:lastRenderedPageBreak/>
        <w:t xml:space="preserve">Table </w:t>
      </w:r>
      <w:r w:rsidRPr="00C62602">
        <w:rPr>
          <w:b/>
          <w:bCs/>
        </w:rPr>
        <w:fldChar w:fldCharType="begin"/>
      </w:r>
      <w:r w:rsidRPr="00C62602">
        <w:rPr>
          <w:b/>
          <w:bCs/>
        </w:rPr>
        <w:instrText xml:space="preserve"> SEQ Table \* ARABIC </w:instrText>
      </w:r>
      <w:r w:rsidRPr="00C62602">
        <w:rPr>
          <w:b/>
          <w:bCs/>
        </w:rPr>
        <w:fldChar w:fldCharType="separate"/>
      </w:r>
      <w:r>
        <w:rPr>
          <w:b/>
          <w:bCs/>
          <w:noProof/>
        </w:rPr>
        <w:t>4</w:t>
      </w:r>
      <w:r w:rsidRPr="00C62602">
        <w:rPr>
          <w:b/>
          <w:bCs/>
        </w:rPr>
        <w:fldChar w:fldCharType="end"/>
      </w:r>
      <w:r>
        <w:rPr>
          <w:b/>
          <w:bCs/>
        </w:rPr>
        <w:t>.</w:t>
      </w:r>
      <w:r w:rsidRPr="00DB00D1">
        <w:t xml:space="preserve"> Specialisations by research area on the most frequent fields compared to Western Balkans (2010-2023)</w:t>
      </w:r>
      <w:bookmarkEnd w:id="47"/>
      <w:bookmarkEnd w:id="48"/>
    </w:p>
    <w:tbl>
      <w:tblPr>
        <w:tblStyle w:val="JRCTableBasic"/>
        <w:tblW w:w="9493" w:type="dxa"/>
        <w:tblLayout w:type="fixed"/>
        <w:tblLook w:val="04A0" w:firstRow="1" w:lastRow="0" w:firstColumn="1" w:lastColumn="0" w:noHBand="0" w:noVBand="1"/>
      </w:tblPr>
      <w:tblGrid>
        <w:gridCol w:w="4106"/>
        <w:gridCol w:w="1559"/>
        <w:gridCol w:w="1985"/>
        <w:gridCol w:w="1843"/>
      </w:tblGrid>
      <w:tr w:rsidR="00BA1E77" w:rsidRPr="00C62602" w14:paraId="083C9FAB" w14:textId="77777777" w:rsidTr="00C70998">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06" w:type="dxa"/>
            <w:noWrap/>
            <w:hideMark/>
          </w:tcPr>
          <w:p w14:paraId="47336009" w14:textId="77777777" w:rsidR="00BA1E77" w:rsidRPr="00F73FD5" w:rsidRDefault="00BA1E77" w:rsidP="00C70998">
            <w:pPr>
              <w:pStyle w:val="JRCTableBoxtitle"/>
              <w:jc w:val="left"/>
              <w:rPr>
                <w:b/>
                <w:bCs/>
              </w:rPr>
            </w:pPr>
            <w:r w:rsidRPr="00F73FD5">
              <w:rPr>
                <w:b/>
                <w:bCs/>
              </w:rPr>
              <w:t>Research Areas</w:t>
            </w:r>
          </w:p>
        </w:tc>
        <w:tc>
          <w:tcPr>
            <w:tcW w:w="1559" w:type="dxa"/>
            <w:noWrap/>
            <w:hideMark/>
          </w:tcPr>
          <w:p w14:paraId="18F82685" w14:textId="77777777" w:rsidR="00BA1E77" w:rsidRPr="00F73FD5" w:rsidRDefault="00BA1E77" w:rsidP="00C70998">
            <w:pPr>
              <w:pStyle w:val="JRCTableBoxtitle"/>
              <w:jc w:val="left"/>
              <w:cnfStyle w:val="100000000000" w:firstRow="1" w:lastRow="0" w:firstColumn="0" w:lastColumn="0" w:oddVBand="0" w:evenVBand="0" w:oddHBand="0" w:evenHBand="0" w:firstRowFirstColumn="0" w:firstRowLastColumn="0" w:lastRowFirstColumn="0" w:lastRowLastColumn="0"/>
              <w:rPr>
                <w:b/>
                <w:bCs/>
              </w:rPr>
            </w:pPr>
            <w:r w:rsidRPr="00F73FD5">
              <w:rPr>
                <w:b/>
                <w:bCs/>
              </w:rPr>
              <w:t>Publications Montenegro</w:t>
            </w:r>
          </w:p>
        </w:tc>
        <w:tc>
          <w:tcPr>
            <w:tcW w:w="1985" w:type="dxa"/>
            <w:noWrap/>
            <w:hideMark/>
          </w:tcPr>
          <w:p w14:paraId="02EA695A" w14:textId="77777777" w:rsidR="00BA1E77" w:rsidRPr="00F73FD5" w:rsidRDefault="00BA1E77" w:rsidP="00C70998">
            <w:pPr>
              <w:pStyle w:val="JRCTableBoxtitle"/>
              <w:jc w:val="left"/>
              <w:cnfStyle w:val="100000000000" w:firstRow="1" w:lastRow="0" w:firstColumn="0" w:lastColumn="0" w:oddVBand="0" w:evenVBand="0" w:oddHBand="0" w:evenHBand="0" w:firstRowFirstColumn="0" w:firstRowLastColumn="0" w:lastRowFirstColumn="0" w:lastRowLastColumn="0"/>
              <w:rPr>
                <w:b/>
                <w:bCs/>
              </w:rPr>
            </w:pPr>
            <w:r w:rsidRPr="00F73FD5">
              <w:rPr>
                <w:b/>
                <w:bCs/>
              </w:rPr>
              <w:t>Sum of publications WB</w:t>
            </w:r>
          </w:p>
        </w:tc>
        <w:tc>
          <w:tcPr>
            <w:tcW w:w="1843" w:type="dxa"/>
            <w:noWrap/>
            <w:hideMark/>
          </w:tcPr>
          <w:p w14:paraId="75D85B89" w14:textId="77777777" w:rsidR="00BA1E77" w:rsidRPr="00F73FD5" w:rsidRDefault="00BA1E77" w:rsidP="00C70998">
            <w:pPr>
              <w:pStyle w:val="JRCTableBoxtitle"/>
              <w:jc w:val="left"/>
              <w:cnfStyle w:val="100000000000" w:firstRow="1" w:lastRow="0" w:firstColumn="0" w:lastColumn="0" w:oddVBand="0" w:evenVBand="0" w:oddHBand="0" w:evenHBand="0" w:firstRowFirstColumn="0" w:firstRowLastColumn="0" w:lastRowFirstColumn="0" w:lastRowLastColumn="0"/>
              <w:rPr>
                <w:b/>
                <w:bCs/>
              </w:rPr>
            </w:pPr>
            <w:r w:rsidRPr="00F73FD5">
              <w:rPr>
                <w:b/>
                <w:bCs/>
              </w:rPr>
              <w:t>LQ compared to</w:t>
            </w:r>
            <w:r>
              <w:rPr>
                <w:rFonts w:ascii="Calibri" w:hAnsi="Calibri" w:cs="Calibri"/>
                <w:b/>
                <w:bCs/>
              </w:rPr>
              <w:t> </w:t>
            </w:r>
            <w:r w:rsidRPr="00F73FD5">
              <w:rPr>
                <w:b/>
                <w:bCs/>
              </w:rPr>
              <w:t>WB</w:t>
            </w:r>
          </w:p>
        </w:tc>
      </w:tr>
      <w:tr w:rsidR="00BA1E77" w:rsidRPr="00C62602" w14:paraId="13C92CF5" w14:textId="77777777" w:rsidTr="00C70998">
        <w:trPr>
          <w:trHeight w:val="288"/>
        </w:trPr>
        <w:tc>
          <w:tcPr>
            <w:cnfStyle w:val="001000000000" w:firstRow="0" w:lastRow="0" w:firstColumn="1" w:lastColumn="0" w:oddVBand="0" w:evenVBand="0" w:oddHBand="0" w:evenHBand="0" w:firstRowFirstColumn="0" w:firstRowLastColumn="0" w:lastRowFirstColumn="0" w:lastRowLastColumn="0"/>
            <w:tcW w:w="4106" w:type="dxa"/>
            <w:noWrap/>
            <w:hideMark/>
          </w:tcPr>
          <w:p w14:paraId="18C62822" w14:textId="77777777" w:rsidR="00BA1E77" w:rsidRPr="00C62602" w:rsidRDefault="00BA1E77" w:rsidP="00C70998">
            <w:pPr>
              <w:pStyle w:val="JRCTabletext10pt"/>
            </w:pPr>
            <w:r w:rsidRPr="00C62602">
              <w:t>Agriculture</w:t>
            </w:r>
          </w:p>
        </w:tc>
        <w:tc>
          <w:tcPr>
            <w:tcW w:w="1559" w:type="dxa"/>
            <w:noWrap/>
            <w:hideMark/>
          </w:tcPr>
          <w:p w14:paraId="04FE5EFF"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143</w:t>
            </w:r>
          </w:p>
        </w:tc>
        <w:tc>
          <w:tcPr>
            <w:tcW w:w="1985" w:type="dxa"/>
            <w:noWrap/>
            <w:hideMark/>
          </w:tcPr>
          <w:p w14:paraId="2D8F0A6B"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4</w:t>
            </w:r>
            <w:r>
              <w:t>,</w:t>
            </w:r>
            <w:r w:rsidRPr="00C62602">
              <w:t>869</w:t>
            </w:r>
          </w:p>
        </w:tc>
        <w:tc>
          <w:tcPr>
            <w:tcW w:w="1843" w:type="dxa"/>
            <w:noWrap/>
            <w:hideMark/>
          </w:tcPr>
          <w:p w14:paraId="638F8409"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0.59</w:t>
            </w:r>
          </w:p>
        </w:tc>
      </w:tr>
      <w:tr w:rsidR="00BA1E77" w:rsidRPr="00C62602" w14:paraId="277E1CB5" w14:textId="77777777" w:rsidTr="00C70998">
        <w:trPr>
          <w:trHeight w:val="288"/>
        </w:trPr>
        <w:tc>
          <w:tcPr>
            <w:cnfStyle w:val="001000000000" w:firstRow="0" w:lastRow="0" w:firstColumn="1" w:lastColumn="0" w:oddVBand="0" w:evenVBand="0" w:oddHBand="0" w:evenHBand="0" w:firstRowFirstColumn="0" w:firstRowLastColumn="0" w:lastRowFirstColumn="0" w:lastRowLastColumn="0"/>
            <w:tcW w:w="4106" w:type="dxa"/>
            <w:noWrap/>
            <w:hideMark/>
          </w:tcPr>
          <w:p w14:paraId="27CE64C2" w14:textId="77777777" w:rsidR="00BA1E77" w:rsidRPr="00C62602" w:rsidRDefault="00BA1E77" w:rsidP="00C70998">
            <w:pPr>
              <w:pStyle w:val="JRCTabletext10pt"/>
            </w:pPr>
            <w:r w:rsidRPr="00C62602">
              <w:t>Arts Humanities Other Topics</w:t>
            </w:r>
          </w:p>
        </w:tc>
        <w:tc>
          <w:tcPr>
            <w:tcW w:w="1559" w:type="dxa"/>
            <w:noWrap/>
            <w:hideMark/>
          </w:tcPr>
          <w:p w14:paraId="33FC3155"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204</w:t>
            </w:r>
          </w:p>
        </w:tc>
        <w:tc>
          <w:tcPr>
            <w:tcW w:w="1985" w:type="dxa"/>
            <w:noWrap/>
            <w:hideMark/>
          </w:tcPr>
          <w:p w14:paraId="6CFD4EF6"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1</w:t>
            </w:r>
            <w:r>
              <w:t>,</w:t>
            </w:r>
            <w:r w:rsidRPr="00C62602">
              <w:t>418</w:t>
            </w:r>
          </w:p>
        </w:tc>
        <w:tc>
          <w:tcPr>
            <w:tcW w:w="1843" w:type="dxa"/>
            <w:noWrap/>
            <w:hideMark/>
          </w:tcPr>
          <w:p w14:paraId="4CCB1F57"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2.91</w:t>
            </w:r>
          </w:p>
        </w:tc>
      </w:tr>
      <w:tr w:rsidR="00BA1E77" w:rsidRPr="00C62602" w14:paraId="60EF4AB4" w14:textId="77777777" w:rsidTr="00C70998">
        <w:trPr>
          <w:trHeight w:val="288"/>
        </w:trPr>
        <w:tc>
          <w:tcPr>
            <w:cnfStyle w:val="001000000000" w:firstRow="0" w:lastRow="0" w:firstColumn="1" w:lastColumn="0" w:oddVBand="0" w:evenVBand="0" w:oddHBand="0" w:evenHBand="0" w:firstRowFirstColumn="0" w:firstRowLastColumn="0" w:lastRowFirstColumn="0" w:lastRowLastColumn="0"/>
            <w:tcW w:w="4106" w:type="dxa"/>
            <w:noWrap/>
            <w:hideMark/>
          </w:tcPr>
          <w:p w14:paraId="2C2005E6" w14:textId="77777777" w:rsidR="00BA1E77" w:rsidRPr="00C62602" w:rsidRDefault="00BA1E77" w:rsidP="00C70998">
            <w:pPr>
              <w:pStyle w:val="JRCTabletext10pt"/>
            </w:pPr>
            <w:r w:rsidRPr="00C62602">
              <w:t>Business Economics</w:t>
            </w:r>
          </w:p>
        </w:tc>
        <w:tc>
          <w:tcPr>
            <w:tcW w:w="1559" w:type="dxa"/>
            <w:noWrap/>
            <w:hideMark/>
          </w:tcPr>
          <w:p w14:paraId="638F2098"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295</w:t>
            </w:r>
          </w:p>
        </w:tc>
        <w:tc>
          <w:tcPr>
            <w:tcW w:w="1985" w:type="dxa"/>
            <w:noWrap/>
            <w:hideMark/>
          </w:tcPr>
          <w:p w14:paraId="04E25179"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4</w:t>
            </w:r>
            <w:r>
              <w:t>,</w:t>
            </w:r>
            <w:r w:rsidRPr="00C62602">
              <w:t>726</w:t>
            </w:r>
          </w:p>
        </w:tc>
        <w:tc>
          <w:tcPr>
            <w:tcW w:w="1843" w:type="dxa"/>
            <w:noWrap/>
            <w:hideMark/>
          </w:tcPr>
          <w:p w14:paraId="795C31CC"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1.26</w:t>
            </w:r>
          </w:p>
        </w:tc>
      </w:tr>
      <w:tr w:rsidR="00BA1E77" w:rsidRPr="00C62602" w14:paraId="377C12CC" w14:textId="77777777" w:rsidTr="00C70998">
        <w:trPr>
          <w:trHeight w:val="288"/>
        </w:trPr>
        <w:tc>
          <w:tcPr>
            <w:cnfStyle w:val="001000000000" w:firstRow="0" w:lastRow="0" w:firstColumn="1" w:lastColumn="0" w:oddVBand="0" w:evenVBand="0" w:oddHBand="0" w:evenHBand="0" w:firstRowFirstColumn="0" w:firstRowLastColumn="0" w:lastRowFirstColumn="0" w:lastRowLastColumn="0"/>
            <w:tcW w:w="4106" w:type="dxa"/>
            <w:noWrap/>
            <w:hideMark/>
          </w:tcPr>
          <w:p w14:paraId="5711D54C" w14:textId="77777777" w:rsidR="00BA1E77" w:rsidRPr="00C62602" w:rsidRDefault="00BA1E77" w:rsidP="00C70998">
            <w:pPr>
              <w:pStyle w:val="JRCTabletext10pt"/>
            </w:pPr>
            <w:r w:rsidRPr="00C62602">
              <w:t>Chemistry</w:t>
            </w:r>
          </w:p>
        </w:tc>
        <w:tc>
          <w:tcPr>
            <w:tcW w:w="1559" w:type="dxa"/>
            <w:noWrap/>
            <w:hideMark/>
          </w:tcPr>
          <w:p w14:paraId="6230B2C1"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215</w:t>
            </w:r>
          </w:p>
        </w:tc>
        <w:tc>
          <w:tcPr>
            <w:tcW w:w="1985" w:type="dxa"/>
            <w:noWrap/>
            <w:hideMark/>
          </w:tcPr>
          <w:p w14:paraId="01467068"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10</w:t>
            </w:r>
            <w:r>
              <w:t>,</w:t>
            </w:r>
            <w:r w:rsidRPr="00C62602">
              <w:t>664</w:t>
            </w:r>
          </w:p>
        </w:tc>
        <w:tc>
          <w:tcPr>
            <w:tcW w:w="1843" w:type="dxa"/>
            <w:noWrap/>
            <w:hideMark/>
          </w:tcPr>
          <w:p w14:paraId="0652F48A"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0.41</w:t>
            </w:r>
          </w:p>
        </w:tc>
      </w:tr>
      <w:tr w:rsidR="00BA1E77" w:rsidRPr="00C62602" w14:paraId="53B0A4B4" w14:textId="77777777" w:rsidTr="00C70998">
        <w:trPr>
          <w:trHeight w:val="288"/>
        </w:trPr>
        <w:tc>
          <w:tcPr>
            <w:cnfStyle w:val="001000000000" w:firstRow="0" w:lastRow="0" w:firstColumn="1" w:lastColumn="0" w:oddVBand="0" w:evenVBand="0" w:oddHBand="0" w:evenHBand="0" w:firstRowFirstColumn="0" w:firstRowLastColumn="0" w:lastRowFirstColumn="0" w:lastRowLastColumn="0"/>
            <w:tcW w:w="4106" w:type="dxa"/>
            <w:noWrap/>
            <w:hideMark/>
          </w:tcPr>
          <w:p w14:paraId="2DE9F815" w14:textId="77777777" w:rsidR="00BA1E77" w:rsidRPr="00C62602" w:rsidRDefault="00BA1E77" w:rsidP="00C70998">
            <w:pPr>
              <w:pStyle w:val="JRCTabletext10pt"/>
            </w:pPr>
            <w:r w:rsidRPr="00C62602">
              <w:t>Computer Science</w:t>
            </w:r>
          </w:p>
        </w:tc>
        <w:tc>
          <w:tcPr>
            <w:tcW w:w="1559" w:type="dxa"/>
            <w:noWrap/>
            <w:hideMark/>
          </w:tcPr>
          <w:p w14:paraId="03DEFB4D"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482</w:t>
            </w:r>
          </w:p>
        </w:tc>
        <w:tc>
          <w:tcPr>
            <w:tcW w:w="1985" w:type="dxa"/>
            <w:noWrap/>
            <w:hideMark/>
          </w:tcPr>
          <w:p w14:paraId="1C5B58E5"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8</w:t>
            </w:r>
            <w:r>
              <w:t>,</w:t>
            </w:r>
            <w:r w:rsidRPr="00C62602">
              <w:t>986</w:t>
            </w:r>
          </w:p>
        </w:tc>
        <w:tc>
          <w:tcPr>
            <w:tcW w:w="1843" w:type="dxa"/>
            <w:noWrap/>
            <w:hideMark/>
          </w:tcPr>
          <w:p w14:paraId="776E0B33"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1.09</w:t>
            </w:r>
          </w:p>
        </w:tc>
      </w:tr>
      <w:tr w:rsidR="00BA1E77" w:rsidRPr="00C62602" w14:paraId="016C42EA" w14:textId="77777777" w:rsidTr="00C70998">
        <w:trPr>
          <w:trHeight w:val="288"/>
        </w:trPr>
        <w:tc>
          <w:tcPr>
            <w:cnfStyle w:val="001000000000" w:firstRow="0" w:lastRow="0" w:firstColumn="1" w:lastColumn="0" w:oddVBand="0" w:evenVBand="0" w:oddHBand="0" w:evenHBand="0" w:firstRowFirstColumn="0" w:firstRowLastColumn="0" w:lastRowFirstColumn="0" w:lastRowLastColumn="0"/>
            <w:tcW w:w="4106" w:type="dxa"/>
            <w:noWrap/>
            <w:hideMark/>
          </w:tcPr>
          <w:p w14:paraId="3AAB6CED" w14:textId="77777777" w:rsidR="00BA1E77" w:rsidRPr="00C62602" w:rsidRDefault="00BA1E77" w:rsidP="00C70998">
            <w:pPr>
              <w:pStyle w:val="JRCTabletext10pt"/>
            </w:pPr>
            <w:r w:rsidRPr="00C62602">
              <w:t>Engineering</w:t>
            </w:r>
          </w:p>
        </w:tc>
        <w:tc>
          <w:tcPr>
            <w:tcW w:w="1559" w:type="dxa"/>
            <w:noWrap/>
            <w:hideMark/>
          </w:tcPr>
          <w:p w14:paraId="5D7E8A46"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1071</w:t>
            </w:r>
          </w:p>
        </w:tc>
        <w:tc>
          <w:tcPr>
            <w:tcW w:w="1985" w:type="dxa"/>
            <w:noWrap/>
            <w:hideMark/>
          </w:tcPr>
          <w:p w14:paraId="5A8B98E3"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21</w:t>
            </w:r>
            <w:r>
              <w:t>,</w:t>
            </w:r>
            <w:r w:rsidRPr="00C62602">
              <w:t>091</w:t>
            </w:r>
          </w:p>
        </w:tc>
        <w:tc>
          <w:tcPr>
            <w:tcW w:w="1843" w:type="dxa"/>
            <w:noWrap/>
            <w:hideMark/>
          </w:tcPr>
          <w:p w14:paraId="3875272A"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1.03</w:t>
            </w:r>
          </w:p>
        </w:tc>
      </w:tr>
      <w:tr w:rsidR="00BA1E77" w:rsidRPr="00C62602" w14:paraId="5C5B86E5" w14:textId="77777777" w:rsidTr="00C70998">
        <w:trPr>
          <w:trHeight w:val="288"/>
        </w:trPr>
        <w:tc>
          <w:tcPr>
            <w:cnfStyle w:val="001000000000" w:firstRow="0" w:lastRow="0" w:firstColumn="1" w:lastColumn="0" w:oddVBand="0" w:evenVBand="0" w:oddHBand="0" w:evenHBand="0" w:firstRowFirstColumn="0" w:firstRowLastColumn="0" w:lastRowFirstColumn="0" w:lastRowLastColumn="0"/>
            <w:tcW w:w="4106" w:type="dxa"/>
            <w:noWrap/>
            <w:hideMark/>
          </w:tcPr>
          <w:p w14:paraId="314FB784" w14:textId="77777777" w:rsidR="00BA1E77" w:rsidRPr="00C62602" w:rsidRDefault="00BA1E77" w:rsidP="00C70998">
            <w:pPr>
              <w:pStyle w:val="JRCTabletext10pt"/>
            </w:pPr>
            <w:r w:rsidRPr="00C62602">
              <w:t>Environmental Sciences Ecology</w:t>
            </w:r>
          </w:p>
        </w:tc>
        <w:tc>
          <w:tcPr>
            <w:tcW w:w="1559" w:type="dxa"/>
            <w:noWrap/>
            <w:hideMark/>
          </w:tcPr>
          <w:p w14:paraId="5A4018BF"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380</w:t>
            </w:r>
          </w:p>
        </w:tc>
        <w:tc>
          <w:tcPr>
            <w:tcW w:w="1985" w:type="dxa"/>
            <w:noWrap/>
            <w:hideMark/>
          </w:tcPr>
          <w:p w14:paraId="68023BE7"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7</w:t>
            </w:r>
            <w:r>
              <w:t>,</w:t>
            </w:r>
            <w:r w:rsidRPr="00C62602">
              <w:t>181</w:t>
            </w:r>
          </w:p>
        </w:tc>
        <w:tc>
          <w:tcPr>
            <w:tcW w:w="1843" w:type="dxa"/>
            <w:noWrap/>
            <w:hideMark/>
          </w:tcPr>
          <w:p w14:paraId="38C0ED47"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1.07</w:t>
            </w:r>
          </w:p>
        </w:tc>
      </w:tr>
      <w:tr w:rsidR="00BA1E77" w:rsidRPr="00C62602" w14:paraId="40FE7EA1" w14:textId="77777777" w:rsidTr="00C70998">
        <w:trPr>
          <w:trHeight w:val="288"/>
        </w:trPr>
        <w:tc>
          <w:tcPr>
            <w:cnfStyle w:val="001000000000" w:firstRow="0" w:lastRow="0" w:firstColumn="1" w:lastColumn="0" w:oddVBand="0" w:evenVBand="0" w:oddHBand="0" w:evenHBand="0" w:firstRowFirstColumn="0" w:firstRowLastColumn="0" w:lastRowFirstColumn="0" w:lastRowLastColumn="0"/>
            <w:tcW w:w="4106" w:type="dxa"/>
            <w:noWrap/>
            <w:hideMark/>
          </w:tcPr>
          <w:p w14:paraId="3E52F1AF" w14:textId="77777777" w:rsidR="00BA1E77" w:rsidRPr="00C62602" w:rsidRDefault="00BA1E77" w:rsidP="00C70998">
            <w:pPr>
              <w:pStyle w:val="JRCTabletext10pt"/>
            </w:pPr>
            <w:r w:rsidRPr="00C62602">
              <w:t>General Internal Medicine</w:t>
            </w:r>
          </w:p>
        </w:tc>
        <w:tc>
          <w:tcPr>
            <w:tcW w:w="1559" w:type="dxa"/>
            <w:noWrap/>
            <w:hideMark/>
          </w:tcPr>
          <w:p w14:paraId="0F0E8F08"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267</w:t>
            </w:r>
          </w:p>
        </w:tc>
        <w:tc>
          <w:tcPr>
            <w:tcW w:w="1985" w:type="dxa"/>
            <w:noWrap/>
            <w:hideMark/>
          </w:tcPr>
          <w:p w14:paraId="3C91F22F"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8</w:t>
            </w:r>
            <w:r>
              <w:t>,</w:t>
            </w:r>
            <w:r w:rsidRPr="00C62602">
              <w:t>114</w:t>
            </w:r>
          </w:p>
        </w:tc>
        <w:tc>
          <w:tcPr>
            <w:tcW w:w="1843" w:type="dxa"/>
            <w:noWrap/>
            <w:hideMark/>
          </w:tcPr>
          <w:p w14:paraId="4604CB77"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0.67</w:t>
            </w:r>
          </w:p>
        </w:tc>
      </w:tr>
      <w:tr w:rsidR="00BA1E77" w:rsidRPr="00C62602" w14:paraId="20CDA9C7" w14:textId="77777777" w:rsidTr="00C70998">
        <w:trPr>
          <w:trHeight w:val="288"/>
        </w:trPr>
        <w:tc>
          <w:tcPr>
            <w:cnfStyle w:val="001000000000" w:firstRow="0" w:lastRow="0" w:firstColumn="1" w:lastColumn="0" w:oddVBand="0" w:evenVBand="0" w:oddHBand="0" w:evenHBand="0" w:firstRowFirstColumn="0" w:firstRowLastColumn="0" w:lastRowFirstColumn="0" w:lastRowLastColumn="0"/>
            <w:tcW w:w="4106" w:type="dxa"/>
            <w:noWrap/>
            <w:hideMark/>
          </w:tcPr>
          <w:p w14:paraId="7E4CBDA0" w14:textId="77777777" w:rsidR="00BA1E77" w:rsidRPr="00C62602" w:rsidRDefault="00BA1E77" w:rsidP="00C70998">
            <w:pPr>
              <w:pStyle w:val="JRCTabletext10pt"/>
            </w:pPr>
            <w:r w:rsidRPr="00C62602">
              <w:t>Linguistics</w:t>
            </w:r>
          </w:p>
        </w:tc>
        <w:tc>
          <w:tcPr>
            <w:tcW w:w="1559" w:type="dxa"/>
            <w:noWrap/>
            <w:hideMark/>
          </w:tcPr>
          <w:p w14:paraId="6113ACD7"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299</w:t>
            </w:r>
          </w:p>
        </w:tc>
        <w:tc>
          <w:tcPr>
            <w:tcW w:w="1985" w:type="dxa"/>
            <w:noWrap/>
            <w:hideMark/>
          </w:tcPr>
          <w:p w14:paraId="4ADAAEEA"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1</w:t>
            </w:r>
            <w:r>
              <w:t>,</w:t>
            </w:r>
            <w:r w:rsidRPr="00C62602">
              <w:t>062</w:t>
            </w:r>
          </w:p>
        </w:tc>
        <w:tc>
          <w:tcPr>
            <w:tcW w:w="1843" w:type="dxa"/>
            <w:noWrap/>
            <w:hideMark/>
          </w:tcPr>
          <w:p w14:paraId="427515AF"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5.70</w:t>
            </w:r>
          </w:p>
        </w:tc>
      </w:tr>
      <w:tr w:rsidR="00BA1E77" w:rsidRPr="00C62602" w14:paraId="2DA2762A" w14:textId="77777777" w:rsidTr="00C70998">
        <w:trPr>
          <w:trHeight w:val="288"/>
        </w:trPr>
        <w:tc>
          <w:tcPr>
            <w:cnfStyle w:val="001000000000" w:firstRow="0" w:lastRow="0" w:firstColumn="1" w:lastColumn="0" w:oddVBand="0" w:evenVBand="0" w:oddHBand="0" w:evenHBand="0" w:firstRowFirstColumn="0" w:firstRowLastColumn="0" w:lastRowFirstColumn="0" w:lastRowLastColumn="0"/>
            <w:tcW w:w="4106" w:type="dxa"/>
            <w:noWrap/>
            <w:hideMark/>
          </w:tcPr>
          <w:p w14:paraId="0CF6EA8C" w14:textId="77777777" w:rsidR="00BA1E77" w:rsidRPr="00C62602" w:rsidRDefault="00BA1E77" w:rsidP="00C70998">
            <w:pPr>
              <w:pStyle w:val="JRCTabletext10pt"/>
            </w:pPr>
            <w:r w:rsidRPr="00C62602">
              <w:t>Marine Freshwater Biology</w:t>
            </w:r>
          </w:p>
        </w:tc>
        <w:tc>
          <w:tcPr>
            <w:tcW w:w="1559" w:type="dxa"/>
            <w:noWrap/>
            <w:hideMark/>
          </w:tcPr>
          <w:p w14:paraId="7790B9A0"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170</w:t>
            </w:r>
          </w:p>
        </w:tc>
        <w:tc>
          <w:tcPr>
            <w:tcW w:w="1985" w:type="dxa"/>
            <w:noWrap/>
            <w:hideMark/>
          </w:tcPr>
          <w:p w14:paraId="062E14E2"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571</w:t>
            </w:r>
          </w:p>
        </w:tc>
        <w:tc>
          <w:tcPr>
            <w:tcW w:w="1843" w:type="dxa"/>
            <w:noWrap/>
            <w:hideMark/>
          </w:tcPr>
          <w:p w14:paraId="30E3C8FE"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6.03</w:t>
            </w:r>
          </w:p>
        </w:tc>
      </w:tr>
      <w:tr w:rsidR="00BA1E77" w:rsidRPr="00C62602" w14:paraId="2FE109C0" w14:textId="77777777" w:rsidTr="00C70998">
        <w:trPr>
          <w:trHeight w:val="288"/>
        </w:trPr>
        <w:tc>
          <w:tcPr>
            <w:cnfStyle w:val="001000000000" w:firstRow="0" w:lastRow="0" w:firstColumn="1" w:lastColumn="0" w:oddVBand="0" w:evenVBand="0" w:oddHBand="0" w:evenHBand="0" w:firstRowFirstColumn="0" w:firstRowLastColumn="0" w:lastRowFirstColumn="0" w:lastRowLastColumn="0"/>
            <w:tcW w:w="4106" w:type="dxa"/>
            <w:noWrap/>
            <w:hideMark/>
          </w:tcPr>
          <w:p w14:paraId="4C9C0472" w14:textId="77777777" w:rsidR="00BA1E77" w:rsidRPr="00C62602" w:rsidRDefault="00BA1E77" w:rsidP="00C70998">
            <w:pPr>
              <w:pStyle w:val="JRCTabletext10pt"/>
            </w:pPr>
            <w:r w:rsidRPr="00C62602">
              <w:t>Materials Science</w:t>
            </w:r>
          </w:p>
        </w:tc>
        <w:tc>
          <w:tcPr>
            <w:tcW w:w="1559" w:type="dxa"/>
            <w:noWrap/>
            <w:hideMark/>
          </w:tcPr>
          <w:p w14:paraId="1863656E"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141</w:t>
            </w:r>
          </w:p>
        </w:tc>
        <w:tc>
          <w:tcPr>
            <w:tcW w:w="1985" w:type="dxa"/>
            <w:noWrap/>
            <w:hideMark/>
          </w:tcPr>
          <w:p w14:paraId="3836E289"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6</w:t>
            </w:r>
            <w:r>
              <w:t>,</w:t>
            </w:r>
            <w:r w:rsidRPr="00C62602">
              <w:t>353</w:t>
            </w:r>
          </w:p>
        </w:tc>
        <w:tc>
          <w:tcPr>
            <w:tcW w:w="1843" w:type="dxa"/>
            <w:noWrap/>
            <w:hideMark/>
          </w:tcPr>
          <w:p w14:paraId="2C9D76BD"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0.45</w:t>
            </w:r>
          </w:p>
        </w:tc>
      </w:tr>
      <w:tr w:rsidR="00BA1E77" w:rsidRPr="00C62602" w14:paraId="436A1071" w14:textId="77777777" w:rsidTr="00C70998">
        <w:trPr>
          <w:trHeight w:val="288"/>
        </w:trPr>
        <w:tc>
          <w:tcPr>
            <w:cnfStyle w:val="001000000000" w:firstRow="0" w:lastRow="0" w:firstColumn="1" w:lastColumn="0" w:oddVBand="0" w:evenVBand="0" w:oddHBand="0" w:evenHBand="0" w:firstRowFirstColumn="0" w:firstRowLastColumn="0" w:lastRowFirstColumn="0" w:lastRowLastColumn="0"/>
            <w:tcW w:w="4106" w:type="dxa"/>
            <w:noWrap/>
            <w:hideMark/>
          </w:tcPr>
          <w:p w14:paraId="673FE377" w14:textId="77777777" w:rsidR="00BA1E77" w:rsidRPr="00C62602" w:rsidRDefault="00BA1E77" w:rsidP="00C70998">
            <w:pPr>
              <w:pStyle w:val="JRCTabletext10pt"/>
            </w:pPr>
            <w:r w:rsidRPr="00C62602">
              <w:t>Mathematics</w:t>
            </w:r>
          </w:p>
        </w:tc>
        <w:tc>
          <w:tcPr>
            <w:tcW w:w="1559" w:type="dxa"/>
            <w:noWrap/>
            <w:hideMark/>
          </w:tcPr>
          <w:p w14:paraId="19062878"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368</w:t>
            </w:r>
          </w:p>
        </w:tc>
        <w:tc>
          <w:tcPr>
            <w:tcW w:w="1985" w:type="dxa"/>
            <w:noWrap/>
            <w:hideMark/>
          </w:tcPr>
          <w:p w14:paraId="1C4B4E13"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7</w:t>
            </w:r>
            <w:r>
              <w:t>,</w:t>
            </w:r>
            <w:r w:rsidRPr="00C62602">
              <w:t>655</w:t>
            </w:r>
          </w:p>
        </w:tc>
        <w:tc>
          <w:tcPr>
            <w:tcW w:w="1843" w:type="dxa"/>
            <w:noWrap/>
            <w:hideMark/>
          </w:tcPr>
          <w:p w14:paraId="0FFEF783"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0.97</w:t>
            </w:r>
          </w:p>
        </w:tc>
      </w:tr>
      <w:tr w:rsidR="00BA1E77" w:rsidRPr="00C62602" w14:paraId="50E69F46" w14:textId="77777777" w:rsidTr="00C70998">
        <w:trPr>
          <w:trHeight w:val="288"/>
        </w:trPr>
        <w:tc>
          <w:tcPr>
            <w:cnfStyle w:val="001000000000" w:firstRow="0" w:lastRow="0" w:firstColumn="1" w:lastColumn="0" w:oddVBand="0" w:evenVBand="0" w:oddHBand="0" w:evenHBand="0" w:firstRowFirstColumn="0" w:firstRowLastColumn="0" w:lastRowFirstColumn="0" w:lastRowLastColumn="0"/>
            <w:tcW w:w="4106" w:type="dxa"/>
            <w:noWrap/>
            <w:hideMark/>
          </w:tcPr>
          <w:p w14:paraId="57058D33" w14:textId="77777777" w:rsidR="00BA1E77" w:rsidRPr="00C62602" w:rsidRDefault="00BA1E77" w:rsidP="00C70998">
            <w:pPr>
              <w:pStyle w:val="JRCTabletext10pt"/>
            </w:pPr>
            <w:r w:rsidRPr="00C62602">
              <w:t>Pharmacology Pharmacy</w:t>
            </w:r>
          </w:p>
        </w:tc>
        <w:tc>
          <w:tcPr>
            <w:tcW w:w="1559" w:type="dxa"/>
            <w:noWrap/>
            <w:hideMark/>
          </w:tcPr>
          <w:p w14:paraId="0B06C8AE"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136</w:t>
            </w:r>
          </w:p>
        </w:tc>
        <w:tc>
          <w:tcPr>
            <w:tcW w:w="1985" w:type="dxa"/>
            <w:noWrap/>
            <w:hideMark/>
          </w:tcPr>
          <w:p w14:paraId="1E4D64F3"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4</w:t>
            </w:r>
            <w:r>
              <w:t>,</w:t>
            </w:r>
            <w:r w:rsidRPr="00C62602">
              <w:t>432</w:t>
            </w:r>
          </w:p>
        </w:tc>
        <w:tc>
          <w:tcPr>
            <w:tcW w:w="1843" w:type="dxa"/>
            <w:noWrap/>
            <w:hideMark/>
          </w:tcPr>
          <w:p w14:paraId="1A26786D"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0.62</w:t>
            </w:r>
          </w:p>
        </w:tc>
      </w:tr>
      <w:tr w:rsidR="00BA1E77" w:rsidRPr="00C62602" w14:paraId="257CC1EB" w14:textId="77777777" w:rsidTr="00C70998">
        <w:trPr>
          <w:trHeight w:val="288"/>
        </w:trPr>
        <w:tc>
          <w:tcPr>
            <w:cnfStyle w:val="001000000000" w:firstRow="0" w:lastRow="0" w:firstColumn="1" w:lastColumn="0" w:oddVBand="0" w:evenVBand="0" w:oddHBand="0" w:evenHBand="0" w:firstRowFirstColumn="0" w:firstRowLastColumn="0" w:lastRowFirstColumn="0" w:lastRowLastColumn="0"/>
            <w:tcW w:w="4106" w:type="dxa"/>
            <w:noWrap/>
            <w:hideMark/>
          </w:tcPr>
          <w:p w14:paraId="3A792AAE" w14:textId="77777777" w:rsidR="00BA1E77" w:rsidRPr="00C62602" w:rsidRDefault="00BA1E77" w:rsidP="00C70998">
            <w:pPr>
              <w:pStyle w:val="JRCTabletext10pt"/>
            </w:pPr>
            <w:r w:rsidRPr="00C62602">
              <w:t>Physics</w:t>
            </w:r>
          </w:p>
        </w:tc>
        <w:tc>
          <w:tcPr>
            <w:tcW w:w="1559" w:type="dxa"/>
            <w:noWrap/>
            <w:hideMark/>
          </w:tcPr>
          <w:p w14:paraId="55671E6A"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509</w:t>
            </w:r>
          </w:p>
        </w:tc>
        <w:tc>
          <w:tcPr>
            <w:tcW w:w="1985" w:type="dxa"/>
            <w:noWrap/>
            <w:hideMark/>
          </w:tcPr>
          <w:p w14:paraId="7006B41A"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9</w:t>
            </w:r>
            <w:r>
              <w:t>,</w:t>
            </w:r>
            <w:r w:rsidRPr="00C62602">
              <w:t>931</w:t>
            </w:r>
          </w:p>
        </w:tc>
        <w:tc>
          <w:tcPr>
            <w:tcW w:w="1843" w:type="dxa"/>
            <w:noWrap/>
            <w:hideMark/>
          </w:tcPr>
          <w:p w14:paraId="4C38435A"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1.04</w:t>
            </w:r>
          </w:p>
        </w:tc>
      </w:tr>
      <w:tr w:rsidR="00BA1E77" w:rsidRPr="00C62602" w14:paraId="49FE4F77" w14:textId="77777777" w:rsidTr="00C70998">
        <w:trPr>
          <w:trHeight w:val="288"/>
        </w:trPr>
        <w:tc>
          <w:tcPr>
            <w:cnfStyle w:val="001000000000" w:firstRow="0" w:lastRow="0" w:firstColumn="1" w:lastColumn="0" w:oddVBand="0" w:evenVBand="0" w:oddHBand="0" w:evenHBand="0" w:firstRowFirstColumn="0" w:firstRowLastColumn="0" w:lastRowFirstColumn="0" w:lastRowLastColumn="0"/>
            <w:tcW w:w="4106" w:type="dxa"/>
            <w:noWrap/>
            <w:hideMark/>
          </w:tcPr>
          <w:p w14:paraId="3E280F44" w14:textId="77777777" w:rsidR="00BA1E77" w:rsidRPr="00C62602" w:rsidRDefault="00BA1E77" w:rsidP="00C70998">
            <w:pPr>
              <w:pStyle w:val="JRCTabletext10pt"/>
            </w:pPr>
            <w:r w:rsidRPr="00C62602">
              <w:t>Plant Sciences</w:t>
            </w:r>
          </w:p>
        </w:tc>
        <w:tc>
          <w:tcPr>
            <w:tcW w:w="1559" w:type="dxa"/>
            <w:noWrap/>
            <w:hideMark/>
          </w:tcPr>
          <w:p w14:paraId="21DE74B4"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151</w:t>
            </w:r>
          </w:p>
        </w:tc>
        <w:tc>
          <w:tcPr>
            <w:tcW w:w="1985" w:type="dxa"/>
            <w:noWrap/>
            <w:hideMark/>
          </w:tcPr>
          <w:p w14:paraId="6E2FDE6D"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2</w:t>
            </w:r>
            <w:r>
              <w:t>,</w:t>
            </w:r>
            <w:r w:rsidRPr="00C62602">
              <w:t>680</w:t>
            </w:r>
          </w:p>
        </w:tc>
        <w:tc>
          <w:tcPr>
            <w:tcW w:w="1843" w:type="dxa"/>
            <w:noWrap/>
            <w:hideMark/>
          </w:tcPr>
          <w:p w14:paraId="3D74EEEA"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1.14</w:t>
            </w:r>
          </w:p>
        </w:tc>
      </w:tr>
      <w:tr w:rsidR="00BA1E77" w:rsidRPr="00C62602" w14:paraId="7CCC579A" w14:textId="77777777" w:rsidTr="00C70998">
        <w:trPr>
          <w:trHeight w:val="288"/>
        </w:trPr>
        <w:tc>
          <w:tcPr>
            <w:cnfStyle w:val="001000000000" w:firstRow="0" w:lastRow="0" w:firstColumn="1" w:lastColumn="0" w:oddVBand="0" w:evenVBand="0" w:oddHBand="0" w:evenHBand="0" w:firstRowFirstColumn="0" w:firstRowLastColumn="0" w:lastRowFirstColumn="0" w:lastRowLastColumn="0"/>
            <w:tcW w:w="4106" w:type="dxa"/>
            <w:noWrap/>
            <w:hideMark/>
          </w:tcPr>
          <w:p w14:paraId="3C3B5482" w14:textId="77777777" w:rsidR="00BA1E77" w:rsidRPr="00C62602" w:rsidRDefault="00BA1E77" w:rsidP="00C70998">
            <w:pPr>
              <w:pStyle w:val="JRCTabletext10pt"/>
            </w:pPr>
            <w:r w:rsidRPr="00C62602">
              <w:t>Public Environmental Occupational Health</w:t>
            </w:r>
          </w:p>
        </w:tc>
        <w:tc>
          <w:tcPr>
            <w:tcW w:w="1559" w:type="dxa"/>
            <w:noWrap/>
            <w:hideMark/>
          </w:tcPr>
          <w:p w14:paraId="4B25D59E"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133</w:t>
            </w:r>
          </w:p>
        </w:tc>
        <w:tc>
          <w:tcPr>
            <w:tcW w:w="1985" w:type="dxa"/>
            <w:noWrap/>
            <w:hideMark/>
          </w:tcPr>
          <w:p w14:paraId="0580F8CD"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2</w:t>
            </w:r>
            <w:r>
              <w:t>,</w:t>
            </w:r>
            <w:r w:rsidRPr="00C62602">
              <w:t>573</w:t>
            </w:r>
          </w:p>
        </w:tc>
        <w:tc>
          <w:tcPr>
            <w:tcW w:w="1843" w:type="dxa"/>
            <w:noWrap/>
            <w:hideMark/>
          </w:tcPr>
          <w:p w14:paraId="3FD58140"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1.05</w:t>
            </w:r>
          </w:p>
        </w:tc>
      </w:tr>
      <w:tr w:rsidR="00BA1E77" w:rsidRPr="00C62602" w14:paraId="4882A5B1" w14:textId="77777777" w:rsidTr="00C70998">
        <w:trPr>
          <w:trHeight w:val="288"/>
        </w:trPr>
        <w:tc>
          <w:tcPr>
            <w:cnfStyle w:val="001000000000" w:firstRow="0" w:lastRow="0" w:firstColumn="1" w:lastColumn="0" w:oddVBand="0" w:evenVBand="0" w:oddHBand="0" w:evenHBand="0" w:firstRowFirstColumn="0" w:firstRowLastColumn="0" w:lastRowFirstColumn="0" w:lastRowLastColumn="0"/>
            <w:tcW w:w="4106" w:type="dxa"/>
            <w:noWrap/>
            <w:hideMark/>
          </w:tcPr>
          <w:p w14:paraId="4649A99A" w14:textId="77777777" w:rsidR="00BA1E77" w:rsidRPr="00C62602" w:rsidRDefault="00BA1E77" w:rsidP="00C70998">
            <w:pPr>
              <w:pStyle w:val="JRCTabletext10pt"/>
            </w:pPr>
            <w:r w:rsidRPr="00C62602">
              <w:t>Science Technology Other Topics</w:t>
            </w:r>
          </w:p>
        </w:tc>
        <w:tc>
          <w:tcPr>
            <w:tcW w:w="1559" w:type="dxa"/>
            <w:noWrap/>
            <w:hideMark/>
          </w:tcPr>
          <w:p w14:paraId="12FC6020"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178</w:t>
            </w:r>
          </w:p>
        </w:tc>
        <w:tc>
          <w:tcPr>
            <w:tcW w:w="1985" w:type="dxa"/>
            <w:noWrap/>
            <w:hideMark/>
          </w:tcPr>
          <w:p w14:paraId="770063AB"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5</w:t>
            </w:r>
            <w:r>
              <w:t>,</w:t>
            </w:r>
            <w:r w:rsidRPr="00C62602">
              <w:t>016</w:t>
            </w:r>
          </w:p>
        </w:tc>
        <w:tc>
          <w:tcPr>
            <w:tcW w:w="1843" w:type="dxa"/>
            <w:noWrap/>
            <w:hideMark/>
          </w:tcPr>
          <w:p w14:paraId="64FC923A"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0.72</w:t>
            </w:r>
          </w:p>
        </w:tc>
      </w:tr>
      <w:tr w:rsidR="00BA1E77" w:rsidRPr="00C62602" w14:paraId="1C7377C2" w14:textId="77777777" w:rsidTr="00C70998">
        <w:trPr>
          <w:trHeight w:val="288"/>
        </w:trPr>
        <w:tc>
          <w:tcPr>
            <w:cnfStyle w:val="001000000000" w:firstRow="0" w:lastRow="0" w:firstColumn="1" w:lastColumn="0" w:oddVBand="0" w:evenVBand="0" w:oddHBand="0" w:evenHBand="0" w:firstRowFirstColumn="0" w:firstRowLastColumn="0" w:lastRowFirstColumn="0" w:lastRowLastColumn="0"/>
            <w:tcW w:w="4106" w:type="dxa"/>
            <w:noWrap/>
            <w:hideMark/>
          </w:tcPr>
          <w:p w14:paraId="571B6359" w14:textId="77777777" w:rsidR="00BA1E77" w:rsidRPr="00C62602" w:rsidRDefault="00BA1E77" w:rsidP="00C70998">
            <w:pPr>
              <w:pStyle w:val="JRCTabletext10pt"/>
            </w:pPr>
            <w:r w:rsidRPr="00C62602">
              <w:t>Telecommunications</w:t>
            </w:r>
          </w:p>
        </w:tc>
        <w:tc>
          <w:tcPr>
            <w:tcW w:w="1559" w:type="dxa"/>
            <w:noWrap/>
            <w:hideMark/>
          </w:tcPr>
          <w:p w14:paraId="50BF2453"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259</w:t>
            </w:r>
          </w:p>
        </w:tc>
        <w:tc>
          <w:tcPr>
            <w:tcW w:w="1985" w:type="dxa"/>
            <w:noWrap/>
            <w:hideMark/>
          </w:tcPr>
          <w:p w14:paraId="4FE15992"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3</w:t>
            </w:r>
            <w:r>
              <w:t>,</w:t>
            </w:r>
            <w:r w:rsidRPr="00C62602">
              <w:t>884</w:t>
            </w:r>
          </w:p>
        </w:tc>
        <w:tc>
          <w:tcPr>
            <w:tcW w:w="1843" w:type="dxa"/>
            <w:noWrap/>
            <w:hideMark/>
          </w:tcPr>
          <w:p w14:paraId="13361294"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1.35</w:t>
            </w:r>
          </w:p>
        </w:tc>
      </w:tr>
      <w:tr w:rsidR="00BA1E77" w:rsidRPr="00C62602" w14:paraId="53D16AC8" w14:textId="77777777" w:rsidTr="00C70998">
        <w:trPr>
          <w:trHeight w:val="288"/>
        </w:trPr>
        <w:tc>
          <w:tcPr>
            <w:cnfStyle w:val="001000000000" w:firstRow="0" w:lastRow="0" w:firstColumn="1" w:lastColumn="0" w:oddVBand="0" w:evenVBand="0" w:oddHBand="0" w:evenHBand="0" w:firstRowFirstColumn="0" w:firstRowLastColumn="0" w:lastRowFirstColumn="0" w:lastRowLastColumn="0"/>
            <w:tcW w:w="4106" w:type="dxa"/>
            <w:noWrap/>
            <w:hideMark/>
          </w:tcPr>
          <w:p w14:paraId="14C6059A" w14:textId="77777777" w:rsidR="00BA1E77" w:rsidRPr="00C62602" w:rsidRDefault="00BA1E77" w:rsidP="00C70998">
            <w:pPr>
              <w:pStyle w:val="JRCTabletext10pt"/>
            </w:pPr>
            <w:r w:rsidRPr="00C62602">
              <w:t>Zoology</w:t>
            </w:r>
          </w:p>
        </w:tc>
        <w:tc>
          <w:tcPr>
            <w:tcW w:w="1559" w:type="dxa"/>
            <w:noWrap/>
            <w:hideMark/>
          </w:tcPr>
          <w:p w14:paraId="0BD19A4C"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153</w:t>
            </w:r>
          </w:p>
        </w:tc>
        <w:tc>
          <w:tcPr>
            <w:tcW w:w="1985" w:type="dxa"/>
            <w:noWrap/>
            <w:hideMark/>
          </w:tcPr>
          <w:p w14:paraId="031915AD"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1</w:t>
            </w:r>
            <w:r>
              <w:t>,</w:t>
            </w:r>
            <w:r w:rsidRPr="00C62602">
              <w:t>207</w:t>
            </w:r>
          </w:p>
        </w:tc>
        <w:tc>
          <w:tcPr>
            <w:tcW w:w="1843" w:type="dxa"/>
            <w:noWrap/>
            <w:hideMark/>
          </w:tcPr>
          <w:p w14:paraId="74614CEF"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2.57</w:t>
            </w:r>
          </w:p>
        </w:tc>
      </w:tr>
    </w:tbl>
    <w:p w14:paraId="23FA5219" w14:textId="77777777" w:rsidR="00BA1E77" w:rsidRPr="005A554D" w:rsidRDefault="00BA1E77" w:rsidP="00BA1E77">
      <w:pPr>
        <w:pStyle w:val="JRCTablesource"/>
      </w:pPr>
      <w:r w:rsidRPr="009007C3">
        <w:rPr>
          <w:b/>
          <w:bCs/>
        </w:rPr>
        <w:t>Source:</w:t>
      </w:r>
      <w:r w:rsidRPr="00DB00D1">
        <w:t xml:space="preserve"> </w:t>
      </w:r>
      <w:r>
        <w:t>A</w:t>
      </w:r>
      <w:r w:rsidRPr="005A554D">
        <w:t>uthor</w:t>
      </w:r>
      <w:r>
        <w:t>s</w:t>
      </w:r>
      <w:r w:rsidRPr="005A554D">
        <w:t>’ elaboration on ISI Web of Science</w:t>
      </w:r>
    </w:p>
    <w:p w14:paraId="552C61F2" w14:textId="77777777" w:rsidR="00BA1E77" w:rsidRPr="0064078F" w:rsidRDefault="00BA1E77" w:rsidP="00BA1E77">
      <w:pPr>
        <w:pStyle w:val="JRCText"/>
      </w:pPr>
      <w:r w:rsidRPr="0064078F">
        <w:t>Some of these specialisations are more difficult to intersect with the economic potential (e.g. linguistic). However, there are some specialisations that are clearly synergic with the results obtained in the previous analysis, for instance, Telecommunications and Computer Sciences that may overlap with sector J60-Programming and broadcasting activities and J61-Telecommunications and Business Economics with sector M70-Activities of head offices, management consultancy activities.</w:t>
      </w:r>
    </w:p>
    <w:p w14:paraId="22B66B17" w14:textId="77777777" w:rsidR="00BA1E77" w:rsidRPr="00DB00D1" w:rsidRDefault="00BA1E77" w:rsidP="00BA1E77">
      <w:pPr>
        <w:pStyle w:val="JRCLevel-3title"/>
      </w:pPr>
      <w:bookmarkStart w:id="49" w:name="_Toc221016430"/>
      <w:r w:rsidRPr="00DB00D1">
        <w:t>Educational system</w:t>
      </w:r>
      <w:bookmarkEnd w:id="49"/>
      <w:r w:rsidRPr="00DB00D1">
        <w:t xml:space="preserve"> </w:t>
      </w:r>
    </w:p>
    <w:p w14:paraId="4B371397" w14:textId="77777777" w:rsidR="00BA1E77" w:rsidRPr="0064078F" w:rsidRDefault="00BA1E77" w:rsidP="00BA1E77">
      <w:pPr>
        <w:pStyle w:val="JRCText"/>
      </w:pPr>
      <w:r w:rsidRPr="0064078F">
        <w:t>Over the last years the number of students enrolled at basic studies at University in Montenegro showed a</w:t>
      </w:r>
      <w:r>
        <w:rPr>
          <w:rFonts w:ascii="Calibri" w:hAnsi="Calibri" w:cs="Calibri"/>
        </w:rPr>
        <w:t> </w:t>
      </w:r>
      <w:r w:rsidRPr="0064078F">
        <w:t>slight decrease from around 20</w:t>
      </w:r>
      <w:r>
        <w:t>,</w:t>
      </w:r>
      <w:r w:rsidRPr="0064078F">
        <w:t>000 in 2017 to around 16</w:t>
      </w:r>
      <w:r>
        <w:t>,</w:t>
      </w:r>
      <w:r w:rsidRPr="0064078F">
        <w:t>000 in 2023.</w:t>
      </w:r>
    </w:p>
    <w:p w14:paraId="1AF77793" w14:textId="77777777" w:rsidR="00BA1E77" w:rsidRPr="0064078F" w:rsidRDefault="00BA1E77" w:rsidP="00BA1E77">
      <w:pPr>
        <w:pStyle w:val="JRCText"/>
      </w:pPr>
      <w:r w:rsidRPr="0064078F">
        <w:t>Figure 14 reports the graduated students over the period 2018-2023 divided by basic, specialists, masters and PhD. It is possible to notice how the total amount of students declined, particularly between 2021 and 2022, with a relative recovery for 2023. This fall is particularly relevant for the specialist studies, and PhD while it is less relevant for the basic studies, which comprise the largest number of students graduating (approximately 3</w:t>
      </w:r>
      <w:r>
        <w:t>,</w:t>
      </w:r>
      <w:r w:rsidRPr="0064078F">
        <w:t>000 per year).</w:t>
      </w:r>
    </w:p>
    <w:p w14:paraId="22B31593" w14:textId="77777777" w:rsidR="00BA1E77" w:rsidRPr="005A554D" w:rsidRDefault="00BA1E77" w:rsidP="00BA1E77">
      <w:pPr>
        <w:pStyle w:val="JRCFigurecaption"/>
      </w:pPr>
      <w:bookmarkStart w:id="50" w:name="_Toc220939010"/>
      <w:bookmarkStart w:id="51" w:name="_Toc221271693"/>
      <w:r w:rsidRPr="00B75E5D">
        <w:rPr>
          <w:b/>
          <w:bCs/>
        </w:rPr>
        <w:lastRenderedPageBreak/>
        <w:t xml:space="preserve">Figure </w:t>
      </w:r>
      <w:r w:rsidRPr="00B75E5D">
        <w:rPr>
          <w:b/>
          <w:bCs/>
        </w:rPr>
        <w:fldChar w:fldCharType="begin"/>
      </w:r>
      <w:r w:rsidRPr="00B75E5D">
        <w:rPr>
          <w:b/>
          <w:bCs/>
        </w:rPr>
        <w:instrText xml:space="preserve"> SEQ Figure \* ARABIC </w:instrText>
      </w:r>
      <w:r w:rsidRPr="00B75E5D">
        <w:rPr>
          <w:b/>
          <w:bCs/>
        </w:rPr>
        <w:fldChar w:fldCharType="separate"/>
      </w:r>
      <w:r>
        <w:rPr>
          <w:b/>
          <w:bCs/>
          <w:noProof/>
        </w:rPr>
        <w:t>14</w:t>
      </w:r>
      <w:r w:rsidRPr="00B75E5D">
        <w:rPr>
          <w:b/>
          <w:bCs/>
        </w:rPr>
        <w:fldChar w:fldCharType="end"/>
      </w:r>
      <w:r>
        <w:rPr>
          <w:b/>
          <w:bCs/>
        </w:rPr>
        <w:t>.</w:t>
      </w:r>
      <w:r w:rsidRPr="005A554D">
        <w:t xml:space="preserve"> Graduated at university divided by basic, specialists, master and PhD (2018-2023)</w:t>
      </w:r>
      <w:bookmarkEnd w:id="50"/>
      <w:bookmarkEnd w:id="51"/>
    </w:p>
    <w:p w14:paraId="4B4F73B4" w14:textId="77777777" w:rsidR="00BA1E77" w:rsidRPr="00DB00D1" w:rsidRDefault="00BA1E77" w:rsidP="00BA1E77">
      <w:pPr>
        <w:pStyle w:val="JRCFigureplaceholder"/>
      </w:pPr>
      <w:r w:rsidRPr="009A6C2A">
        <w:rPr>
          <w:noProof/>
        </w:rPr>
        <w:drawing>
          <wp:inline distT="0" distB="0" distL="0" distR="0" wp14:anchorId="7192B694" wp14:editId="24732FB9">
            <wp:extent cx="6120000" cy="2530548"/>
            <wp:effectExtent l="0" t="0" r="14605" b="9525"/>
            <wp:docPr id="1922225916" name="Grafico 1">
              <a:extLst xmlns:a="http://schemas.openxmlformats.org/drawingml/2006/main">
                <a:ext uri="{FF2B5EF4-FFF2-40B4-BE49-F238E27FC236}">
                  <a16:creationId xmlns:a16="http://schemas.microsoft.com/office/drawing/2014/main" id="{B46209F8-CE45-7268-A644-4FB704468D2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4216AF49" w14:textId="77777777" w:rsidR="00BA1E77" w:rsidRPr="005A554D" w:rsidRDefault="00BA1E77" w:rsidP="00BA1E77">
      <w:pPr>
        <w:pStyle w:val="JRCFiguresource"/>
        <w:rPr>
          <w:iCs/>
        </w:rPr>
      </w:pPr>
      <w:r w:rsidRPr="005C54AC">
        <w:rPr>
          <w:b/>
          <w:bCs/>
          <w:iCs/>
        </w:rPr>
        <w:t xml:space="preserve">Source: </w:t>
      </w:r>
      <w:r>
        <w:rPr>
          <w:iCs/>
        </w:rPr>
        <w:t>A</w:t>
      </w:r>
      <w:r w:rsidRPr="005A554D">
        <w:rPr>
          <w:iCs/>
        </w:rPr>
        <w:t>uthor</w:t>
      </w:r>
      <w:r>
        <w:rPr>
          <w:iCs/>
        </w:rPr>
        <w:t>s</w:t>
      </w:r>
      <w:r w:rsidRPr="005A554D">
        <w:rPr>
          <w:iCs/>
        </w:rPr>
        <w:t xml:space="preserve">’ elaboration on </w:t>
      </w:r>
      <w:proofErr w:type="spellStart"/>
      <w:r w:rsidRPr="005A554D">
        <w:rPr>
          <w:iCs/>
        </w:rPr>
        <w:t>Monstat</w:t>
      </w:r>
      <w:proofErr w:type="spellEnd"/>
      <w:r w:rsidRPr="005A554D">
        <w:rPr>
          <w:iCs/>
        </w:rPr>
        <w:t xml:space="preserve"> data</w:t>
      </w:r>
    </w:p>
    <w:p w14:paraId="7B4F56C3" w14:textId="77777777" w:rsidR="00BA1E77" w:rsidRPr="0064078F" w:rsidRDefault="00BA1E77" w:rsidP="00BA1E77">
      <w:pPr>
        <w:pStyle w:val="JRCText"/>
      </w:pPr>
      <w:r w:rsidRPr="0064078F">
        <w:t>The following Figures 15 and 16 show the numbers of graduated students in basic studies in Higher Education (divided by public or private institutions in Figure 15 and by gender in Figure 16). The total graduations show a stable number of around 3</w:t>
      </w:r>
      <w:r>
        <w:t>,</w:t>
      </w:r>
      <w:r w:rsidRPr="0064078F">
        <w:t>000 per year but with a drop during the years 2021 and</w:t>
      </w:r>
      <w:r>
        <w:rPr>
          <w:rFonts w:ascii="Calibri" w:hAnsi="Calibri" w:cs="Calibri"/>
        </w:rPr>
        <w:t> </w:t>
      </w:r>
      <w:r w:rsidRPr="0064078F">
        <w:t>2022, probably because of the Covid-19 pandemic and a subsequent recovery in 2023. Figure 15 shows a</w:t>
      </w:r>
      <w:r>
        <w:rPr>
          <w:rFonts w:ascii="Calibri" w:hAnsi="Calibri" w:cs="Calibri"/>
        </w:rPr>
        <w:t> </w:t>
      </w:r>
      <w:r w:rsidRPr="0064078F">
        <w:t>general prevalence of public institutions even if, the largest part of the drop, during the period 2021-2022, pertains mainly to this category but with a growth in 2023 which did not occur for the private</w:t>
      </w:r>
      <w:r>
        <w:rPr>
          <w:rFonts w:ascii="Calibri" w:hAnsi="Calibri" w:cs="Calibri"/>
        </w:rPr>
        <w:t> </w:t>
      </w:r>
      <w:r w:rsidRPr="0064078F">
        <w:t>institutions.</w:t>
      </w:r>
    </w:p>
    <w:p w14:paraId="2DC06F7A" w14:textId="77777777" w:rsidR="00BA1E77" w:rsidRPr="0064078F" w:rsidRDefault="00BA1E77" w:rsidP="00BA1E77">
      <w:pPr>
        <w:pStyle w:val="JRCText"/>
      </w:pPr>
      <w:r w:rsidRPr="0064078F">
        <w:t>Regarding figure 16, showing the gender of the graduated students, it appears clearly a prevalence of female graduates over the whole period.</w:t>
      </w:r>
    </w:p>
    <w:p w14:paraId="4A815FE1" w14:textId="77777777" w:rsidR="00BA1E77" w:rsidRPr="00DB00D1" w:rsidRDefault="00BA1E77" w:rsidP="00BA1E77">
      <w:pPr>
        <w:pStyle w:val="JRCFigurecaption"/>
      </w:pPr>
      <w:bookmarkStart w:id="52" w:name="_Toc220939011"/>
      <w:bookmarkStart w:id="53" w:name="_Toc221271694"/>
      <w:r w:rsidRPr="008B1D1A">
        <w:rPr>
          <w:b/>
          <w:bCs/>
        </w:rPr>
        <w:t xml:space="preserve">Figure </w:t>
      </w:r>
      <w:r w:rsidRPr="008B1D1A">
        <w:rPr>
          <w:b/>
          <w:bCs/>
        </w:rPr>
        <w:fldChar w:fldCharType="begin"/>
      </w:r>
      <w:r w:rsidRPr="008B1D1A">
        <w:rPr>
          <w:b/>
          <w:bCs/>
        </w:rPr>
        <w:instrText xml:space="preserve"> SEQ Figure \* ARABIC </w:instrText>
      </w:r>
      <w:r w:rsidRPr="008B1D1A">
        <w:rPr>
          <w:b/>
          <w:bCs/>
        </w:rPr>
        <w:fldChar w:fldCharType="separate"/>
      </w:r>
      <w:r>
        <w:rPr>
          <w:b/>
          <w:bCs/>
          <w:noProof/>
        </w:rPr>
        <w:t>15</w:t>
      </w:r>
      <w:r w:rsidRPr="008B1D1A">
        <w:rPr>
          <w:b/>
          <w:bCs/>
        </w:rPr>
        <w:fldChar w:fldCharType="end"/>
      </w:r>
      <w:r w:rsidRPr="008B1D1A">
        <w:rPr>
          <w:b/>
          <w:bCs/>
        </w:rPr>
        <w:t>.</w:t>
      </w:r>
      <w:r>
        <w:rPr>
          <w:b/>
          <w:bCs/>
        </w:rPr>
        <w:t xml:space="preserve"> </w:t>
      </w:r>
      <w:r w:rsidRPr="00DB00D1">
        <w:t xml:space="preserve">Graduated at </w:t>
      </w:r>
      <w:r w:rsidRPr="005A554D">
        <w:t>university</w:t>
      </w:r>
      <w:r w:rsidRPr="00DB00D1">
        <w:t xml:space="preserve"> basic studies divided by public or private institutions (2018-2023)</w:t>
      </w:r>
      <w:bookmarkEnd w:id="52"/>
      <w:bookmarkEnd w:id="53"/>
    </w:p>
    <w:p w14:paraId="60481C4B" w14:textId="77777777" w:rsidR="00BA1E77" w:rsidRPr="00DB00D1" w:rsidRDefault="00BA1E77" w:rsidP="00BA1E77">
      <w:pPr>
        <w:pStyle w:val="JRCText"/>
        <w:jc w:val="center"/>
      </w:pPr>
      <w:r w:rsidRPr="00DB00D1">
        <w:rPr>
          <w:noProof/>
        </w:rPr>
        <w:drawing>
          <wp:inline distT="0" distB="0" distL="0" distR="0" wp14:anchorId="71FA8BAB" wp14:editId="33CD198E">
            <wp:extent cx="6120000" cy="2552700"/>
            <wp:effectExtent l="0" t="0" r="14605" b="12700"/>
            <wp:docPr id="1758622038" name="Grafico 1">
              <a:extLst xmlns:a="http://schemas.openxmlformats.org/drawingml/2006/main">
                <a:ext uri="{FF2B5EF4-FFF2-40B4-BE49-F238E27FC236}">
                  <a16:creationId xmlns:a16="http://schemas.microsoft.com/office/drawing/2014/main" id="{28B76D16-4A9A-CDDF-7EE9-BEDE429C38A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4972561E" w14:textId="77777777" w:rsidR="00BA1E77" w:rsidRPr="008E1BBE" w:rsidRDefault="00BA1E77" w:rsidP="00BA1E77">
      <w:pPr>
        <w:pStyle w:val="JRCFiguresource"/>
      </w:pPr>
      <w:r w:rsidRPr="008E1BBE">
        <w:rPr>
          <w:b/>
          <w:bCs/>
        </w:rPr>
        <w:t>Source:</w:t>
      </w:r>
      <w:r w:rsidRPr="008E1BBE">
        <w:t xml:space="preserve"> </w:t>
      </w:r>
      <w:r>
        <w:t>A</w:t>
      </w:r>
      <w:r w:rsidRPr="008E1BBE">
        <w:t>uthor</w:t>
      </w:r>
      <w:r>
        <w:t>s</w:t>
      </w:r>
      <w:r w:rsidRPr="008E1BBE">
        <w:t xml:space="preserve">’ elaboration on </w:t>
      </w:r>
      <w:proofErr w:type="spellStart"/>
      <w:r w:rsidRPr="008E1BBE">
        <w:t>Monstat</w:t>
      </w:r>
      <w:proofErr w:type="spellEnd"/>
      <w:r w:rsidRPr="008E1BBE">
        <w:t xml:space="preserve"> data</w:t>
      </w:r>
    </w:p>
    <w:p w14:paraId="425E93D1" w14:textId="77777777" w:rsidR="00BA1E77" w:rsidRPr="00DB00D1" w:rsidRDefault="00BA1E77" w:rsidP="00BA1E77">
      <w:pPr>
        <w:pStyle w:val="JRCText"/>
      </w:pPr>
    </w:p>
    <w:p w14:paraId="41598760" w14:textId="77777777" w:rsidR="00BA1E77" w:rsidRPr="00DB00D1" w:rsidRDefault="00BA1E77" w:rsidP="00BA1E77">
      <w:pPr>
        <w:pStyle w:val="JRCFigurecaption"/>
      </w:pPr>
      <w:bookmarkStart w:id="54" w:name="_Toc220939012"/>
      <w:bookmarkStart w:id="55" w:name="_Toc221271695"/>
      <w:r w:rsidRPr="00A953A0">
        <w:rPr>
          <w:b/>
          <w:bCs/>
        </w:rPr>
        <w:lastRenderedPageBreak/>
        <w:t xml:space="preserve">Figure </w:t>
      </w:r>
      <w:r w:rsidRPr="00A953A0">
        <w:rPr>
          <w:b/>
          <w:bCs/>
        </w:rPr>
        <w:fldChar w:fldCharType="begin"/>
      </w:r>
      <w:r w:rsidRPr="00A953A0">
        <w:rPr>
          <w:b/>
          <w:bCs/>
        </w:rPr>
        <w:instrText xml:space="preserve"> SEQ Figure \* ARABIC </w:instrText>
      </w:r>
      <w:r w:rsidRPr="00A953A0">
        <w:rPr>
          <w:b/>
          <w:bCs/>
        </w:rPr>
        <w:fldChar w:fldCharType="separate"/>
      </w:r>
      <w:r>
        <w:rPr>
          <w:b/>
          <w:bCs/>
          <w:noProof/>
        </w:rPr>
        <w:t>16</w:t>
      </w:r>
      <w:r w:rsidRPr="00A953A0">
        <w:rPr>
          <w:b/>
          <w:bCs/>
        </w:rPr>
        <w:fldChar w:fldCharType="end"/>
      </w:r>
      <w:r w:rsidRPr="00A953A0">
        <w:rPr>
          <w:b/>
          <w:bCs/>
        </w:rPr>
        <w:t>.</w:t>
      </w:r>
      <w:r w:rsidRPr="00DB00D1">
        <w:t xml:space="preserve"> Graduated at </w:t>
      </w:r>
      <w:r w:rsidRPr="005A554D">
        <w:t>university</w:t>
      </w:r>
      <w:r w:rsidRPr="00DB00D1">
        <w:t xml:space="preserve"> basic studies by gender (2018-2023)</w:t>
      </w:r>
      <w:bookmarkEnd w:id="54"/>
      <w:bookmarkEnd w:id="55"/>
    </w:p>
    <w:p w14:paraId="22AB4E89" w14:textId="77777777" w:rsidR="00BA1E77" w:rsidRPr="00DB00D1" w:rsidRDefault="00BA1E77" w:rsidP="00BA1E77">
      <w:pPr>
        <w:pStyle w:val="JRCText"/>
        <w:jc w:val="center"/>
      </w:pPr>
      <w:r w:rsidRPr="00DB00D1">
        <w:rPr>
          <w:noProof/>
        </w:rPr>
        <w:drawing>
          <wp:inline distT="0" distB="0" distL="0" distR="0" wp14:anchorId="5E5A2EEE" wp14:editId="44C75234">
            <wp:extent cx="5038725" cy="2219325"/>
            <wp:effectExtent l="0" t="0" r="9525" b="9525"/>
            <wp:docPr id="1527919416" name="Grafico 1">
              <a:extLst xmlns:a="http://schemas.openxmlformats.org/drawingml/2006/main">
                <a:ext uri="{FF2B5EF4-FFF2-40B4-BE49-F238E27FC236}">
                  <a16:creationId xmlns:a16="http://schemas.microsoft.com/office/drawing/2014/main" id="{E15DF57E-9F9C-29A2-6E30-94DBFA0512A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20F09D63" w14:textId="77777777" w:rsidR="00BA1E77" w:rsidRPr="00A953A0" w:rsidRDefault="00BA1E77" w:rsidP="00BA1E77">
      <w:pPr>
        <w:pStyle w:val="JRCFiguresource"/>
      </w:pPr>
      <w:r w:rsidRPr="00A953A0">
        <w:rPr>
          <w:b/>
          <w:bCs/>
        </w:rPr>
        <w:t>Source:</w:t>
      </w:r>
      <w:r w:rsidRPr="00A953A0">
        <w:t xml:space="preserve"> </w:t>
      </w:r>
      <w:r>
        <w:t>A</w:t>
      </w:r>
      <w:r w:rsidRPr="00A953A0">
        <w:t>uthor</w:t>
      </w:r>
      <w:r>
        <w:t>s</w:t>
      </w:r>
      <w:r w:rsidRPr="00A953A0">
        <w:t xml:space="preserve">’ elaboration on </w:t>
      </w:r>
      <w:proofErr w:type="spellStart"/>
      <w:r w:rsidRPr="00A953A0">
        <w:t>Monstat</w:t>
      </w:r>
      <w:proofErr w:type="spellEnd"/>
      <w:r w:rsidRPr="00A953A0">
        <w:t xml:space="preserve"> data</w:t>
      </w:r>
    </w:p>
    <w:p w14:paraId="49D29A9C" w14:textId="77777777" w:rsidR="00BA1E77" w:rsidRPr="0064078F" w:rsidRDefault="00BA1E77" w:rsidP="00BA1E77">
      <w:pPr>
        <w:pStyle w:val="JRCText"/>
      </w:pPr>
      <w:r w:rsidRPr="0064078F">
        <w:t xml:space="preserve">The data retrieved showed that in 2023, only 15 doctoral students graduated, a lower number with respect to previous years, which, however, never showed values higher than 28 graduations of doctoral students. Conversely, the number of doctoral students enrolled showed an interesting increase to more than 200 students in the academic year 2023-24. In relation to S3 priorities, 12 scholarships for PhD students have been released for a total amount of </w:t>
      </w:r>
      <w:r>
        <w:rPr>
          <w:color w:val="000000"/>
        </w:rPr>
        <w:t xml:space="preserve">EUR </w:t>
      </w:r>
      <w:r w:rsidRPr="0064078F">
        <w:t>0.52 million (10 belonging to universities located in Podgorica and 2 in Kotor) mainly in the S3 areas of ICT (48% of the total amount) and Energy and Sustainable Environment (20 % of the total amount).</w:t>
      </w:r>
    </w:p>
    <w:p w14:paraId="2F821CA1" w14:textId="77777777" w:rsidR="00BA1E77" w:rsidRPr="00DB00D1" w:rsidRDefault="00BA1E77" w:rsidP="00BA1E77">
      <w:pPr>
        <w:pStyle w:val="JRCLevel-3title"/>
      </w:pPr>
      <w:bookmarkStart w:id="56" w:name="_Toc221016431"/>
      <w:r w:rsidRPr="00DB00D1">
        <w:t>Scientific research system</w:t>
      </w:r>
      <w:bookmarkEnd w:id="56"/>
      <w:r w:rsidRPr="00DB00D1">
        <w:t xml:space="preserve"> </w:t>
      </w:r>
    </w:p>
    <w:p w14:paraId="2D910AAE" w14:textId="77777777" w:rsidR="00BA1E77" w:rsidRPr="00DB00D1" w:rsidRDefault="00BA1E77" w:rsidP="00BA1E77">
      <w:pPr>
        <w:pStyle w:val="JRCText"/>
      </w:pPr>
      <w:r w:rsidRPr="00DB00D1">
        <w:t>Montenegro has financed 25 projects across three national scientific research program</w:t>
      </w:r>
      <w:r>
        <w:t>me</w:t>
      </w:r>
      <w:r w:rsidRPr="00DB00D1">
        <w:t xml:space="preserve">s: COVID-19, National Scientific Research Projects (2019-2022), and National Scientific Research Projects (2023). The latter has received the largest allocation, amounting to </w:t>
      </w:r>
      <w:r>
        <w:rPr>
          <w:color w:val="000000"/>
        </w:rPr>
        <w:t xml:space="preserve">EUR </w:t>
      </w:r>
      <w:r w:rsidRPr="00DB00D1">
        <w:t>1.5 million, which is more than double the funding provided to the same program</w:t>
      </w:r>
      <w:r>
        <w:t>me</w:t>
      </w:r>
      <w:r w:rsidRPr="00DB00D1">
        <w:t xml:space="preserve"> during the 2019-2022 period. Considering the three frameworks together, universities (</w:t>
      </w:r>
      <w:r>
        <w:t>‘</w:t>
      </w:r>
      <w:r w:rsidRPr="00DB00D1">
        <w:t>institutions of higher education</w:t>
      </w:r>
      <w:r>
        <w:t>’</w:t>
      </w:r>
      <w:r w:rsidRPr="00DB00D1">
        <w:t xml:space="preserve">) participate in 20 projects with a total of </w:t>
      </w:r>
      <w:r>
        <w:rPr>
          <w:color w:val="000000"/>
        </w:rPr>
        <w:t xml:space="preserve">EUR </w:t>
      </w:r>
      <w:r w:rsidRPr="00DB00D1">
        <w:t>1.96 million (83% of the total) (see table 5).</w:t>
      </w:r>
    </w:p>
    <w:p w14:paraId="305385E9" w14:textId="77777777" w:rsidR="00BA1E77" w:rsidRPr="00DB00D1" w:rsidRDefault="00BA1E77" w:rsidP="00BA1E77">
      <w:pPr>
        <w:pStyle w:val="JRCTabletitle"/>
      </w:pPr>
      <w:bookmarkStart w:id="57" w:name="_Toc220938957"/>
      <w:bookmarkStart w:id="58" w:name="_Toc221271667"/>
      <w:r w:rsidRPr="00C62602">
        <w:rPr>
          <w:b/>
          <w:bCs/>
        </w:rPr>
        <w:t xml:space="preserve">Table </w:t>
      </w:r>
      <w:r w:rsidRPr="00C62602">
        <w:rPr>
          <w:b/>
          <w:bCs/>
        </w:rPr>
        <w:fldChar w:fldCharType="begin"/>
      </w:r>
      <w:r w:rsidRPr="00C62602">
        <w:rPr>
          <w:b/>
          <w:bCs/>
        </w:rPr>
        <w:instrText xml:space="preserve"> SEQ Table \* ARABIC </w:instrText>
      </w:r>
      <w:r w:rsidRPr="00C62602">
        <w:rPr>
          <w:b/>
          <w:bCs/>
        </w:rPr>
        <w:fldChar w:fldCharType="separate"/>
      </w:r>
      <w:r>
        <w:rPr>
          <w:b/>
          <w:bCs/>
          <w:noProof/>
        </w:rPr>
        <w:t>5</w:t>
      </w:r>
      <w:r w:rsidRPr="00C62602">
        <w:rPr>
          <w:b/>
          <w:bCs/>
        </w:rPr>
        <w:fldChar w:fldCharType="end"/>
      </w:r>
      <w:r>
        <w:rPr>
          <w:b/>
          <w:bCs/>
        </w:rPr>
        <w:t>.</w:t>
      </w:r>
      <w:r w:rsidRPr="00DB00D1">
        <w:t xml:space="preserve"> Financing received by type of user for each national scientific program (</w:t>
      </w:r>
      <w:r>
        <w:rPr>
          <w:color w:val="000000"/>
        </w:rPr>
        <w:t xml:space="preserve">EUR </w:t>
      </w:r>
      <w:r w:rsidRPr="00DB00D1">
        <w:t>million)</w:t>
      </w:r>
      <w:bookmarkEnd w:id="57"/>
      <w:bookmarkEnd w:id="58"/>
    </w:p>
    <w:tbl>
      <w:tblPr>
        <w:tblStyle w:val="JRCTableBasic"/>
        <w:tblW w:w="9633" w:type="dxa"/>
        <w:tblLook w:val="04A0" w:firstRow="1" w:lastRow="0" w:firstColumn="1" w:lastColumn="0" w:noHBand="0" w:noVBand="1"/>
      </w:tblPr>
      <w:tblGrid>
        <w:gridCol w:w="2029"/>
        <w:gridCol w:w="2239"/>
        <w:gridCol w:w="2239"/>
        <w:gridCol w:w="2239"/>
        <w:gridCol w:w="887"/>
      </w:tblGrid>
      <w:tr w:rsidR="00BA1E77" w:rsidRPr="00C62602" w14:paraId="4E14092C" w14:textId="77777777" w:rsidTr="00C70998">
        <w:trPr>
          <w:cnfStyle w:val="100000000000" w:firstRow="1" w:lastRow="0" w:firstColumn="0" w:lastColumn="0" w:oddVBand="0" w:evenVBand="0" w:oddHBand="0" w:evenHBand="0" w:firstRowFirstColumn="0" w:firstRowLastColumn="0" w:lastRowFirstColumn="0" w:lastRowLastColumn="0"/>
          <w:trHeight w:val="220"/>
        </w:trPr>
        <w:tc>
          <w:tcPr>
            <w:cnfStyle w:val="001000000000" w:firstRow="0" w:lastRow="0" w:firstColumn="1" w:lastColumn="0" w:oddVBand="0" w:evenVBand="0" w:oddHBand="0" w:evenHBand="0" w:firstRowFirstColumn="0" w:firstRowLastColumn="0" w:lastRowFirstColumn="0" w:lastRowLastColumn="0"/>
            <w:tcW w:w="2029" w:type="dxa"/>
            <w:noWrap/>
            <w:hideMark/>
          </w:tcPr>
          <w:p w14:paraId="0F45072D" w14:textId="77777777" w:rsidR="00BA1E77" w:rsidRPr="00030444" w:rsidRDefault="00BA1E77" w:rsidP="00C70998">
            <w:pPr>
              <w:pStyle w:val="JRCTableBoxtitle"/>
              <w:jc w:val="left"/>
              <w:rPr>
                <w:b/>
                <w:bCs/>
              </w:rPr>
            </w:pPr>
            <w:r w:rsidRPr="00030444">
              <w:rPr>
                <w:b/>
                <w:bCs/>
              </w:rPr>
              <w:t>Type of user\typer of programme</w:t>
            </w:r>
          </w:p>
        </w:tc>
        <w:tc>
          <w:tcPr>
            <w:tcW w:w="2239" w:type="dxa"/>
            <w:noWrap/>
            <w:hideMark/>
          </w:tcPr>
          <w:p w14:paraId="6631006B" w14:textId="77777777" w:rsidR="00BA1E77" w:rsidRPr="00030444" w:rsidRDefault="00BA1E77" w:rsidP="00C70998">
            <w:pPr>
              <w:pStyle w:val="JRCTableBoxtitle"/>
              <w:jc w:val="left"/>
              <w:cnfStyle w:val="100000000000" w:firstRow="1" w:lastRow="0" w:firstColumn="0" w:lastColumn="0" w:oddVBand="0" w:evenVBand="0" w:oddHBand="0" w:evenHBand="0" w:firstRowFirstColumn="0" w:firstRowLastColumn="0" w:lastRowFirstColumn="0" w:lastRowLastColumn="0"/>
              <w:rPr>
                <w:b/>
                <w:bCs/>
              </w:rPr>
            </w:pPr>
            <w:r w:rsidRPr="00030444">
              <w:rPr>
                <w:b/>
                <w:bCs/>
              </w:rPr>
              <w:t>COVID-19 Programme</w:t>
            </w:r>
          </w:p>
        </w:tc>
        <w:tc>
          <w:tcPr>
            <w:tcW w:w="2239" w:type="dxa"/>
            <w:noWrap/>
            <w:hideMark/>
          </w:tcPr>
          <w:p w14:paraId="00E9F61F" w14:textId="77777777" w:rsidR="00BA1E77" w:rsidRPr="00030444" w:rsidRDefault="00BA1E77" w:rsidP="00C70998">
            <w:pPr>
              <w:pStyle w:val="JRCTableBoxtitle"/>
              <w:jc w:val="left"/>
              <w:cnfStyle w:val="100000000000" w:firstRow="1" w:lastRow="0" w:firstColumn="0" w:lastColumn="0" w:oddVBand="0" w:evenVBand="0" w:oddHBand="0" w:evenHBand="0" w:firstRowFirstColumn="0" w:firstRowLastColumn="0" w:lastRowFirstColumn="0" w:lastRowLastColumn="0"/>
              <w:rPr>
                <w:b/>
                <w:bCs/>
              </w:rPr>
            </w:pPr>
            <w:r w:rsidRPr="00030444">
              <w:rPr>
                <w:b/>
                <w:bCs/>
              </w:rPr>
              <w:t>NATIONAL SCIENTIFIC RESEARCH PROJECTS (2019-2022)</w:t>
            </w:r>
          </w:p>
        </w:tc>
        <w:tc>
          <w:tcPr>
            <w:tcW w:w="2239" w:type="dxa"/>
            <w:noWrap/>
            <w:hideMark/>
          </w:tcPr>
          <w:p w14:paraId="2A93B04C" w14:textId="77777777" w:rsidR="00BA1E77" w:rsidRPr="00030444" w:rsidRDefault="00BA1E77" w:rsidP="00C70998">
            <w:pPr>
              <w:pStyle w:val="JRCTableBoxtitle"/>
              <w:jc w:val="left"/>
              <w:cnfStyle w:val="100000000000" w:firstRow="1" w:lastRow="0" w:firstColumn="0" w:lastColumn="0" w:oddVBand="0" w:evenVBand="0" w:oddHBand="0" w:evenHBand="0" w:firstRowFirstColumn="0" w:firstRowLastColumn="0" w:lastRowFirstColumn="0" w:lastRowLastColumn="0"/>
              <w:rPr>
                <w:b/>
                <w:bCs/>
              </w:rPr>
            </w:pPr>
            <w:r w:rsidRPr="00030444">
              <w:rPr>
                <w:b/>
                <w:bCs/>
              </w:rPr>
              <w:t>NATIONAL SCIENTIFIC RESEARCH PROJECTS 2023</w:t>
            </w:r>
          </w:p>
        </w:tc>
        <w:tc>
          <w:tcPr>
            <w:tcW w:w="887" w:type="dxa"/>
            <w:noWrap/>
            <w:hideMark/>
          </w:tcPr>
          <w:p w14:paraId="7EDF0D74" w14:textId="77777777" w:rsidR="00BA1E77" w:rsidRPr="00030444" w:rsidRDefault="00BA1E77" w:rsidP="00C70998">
            <w:pPr>
              <w:pStyle w:val="JRCTableBoxtitle"/>
              <w:jc w:val="left"/>
              <w:cnfStyle w:val="100000000000" w:firstRow="1" w:lastRow="0" w:firstColumn="0" w:lastColumn="0" w:oddVBand="0" w:evenVBand="0" w:oddHBand="0" w:evenHBand="0" w:firstRowFirstColumn="0" w:firstRowLastColumn="0" w:lastRowFirstColumn="0" w:lastRowLastColumn="0"/>
              <w:rPr>
                <w:b/>
                <w:bCs/>
              </w:rPr>
            </w:pPr>
            <w:r w:rsidRPr="00030444">
              <w:rPr>
                <w:b/>
                <w:bCs/>
              </w:rPr>
              <w:t>Total</w:t>
            </w:r>
          </w:p>
        </w:tc>
      </w:tr>
      <w:tr w:rsidR="00BA1E77" w:rsidRPr="00C62602" w14:paraId="52C33E9D" w14:textId="77777777" w:rsidTr="00C70998">
        <w:trPr>
          <w:trHeight w:val="220"/>
        </w:trPr>
        <w:tc>
          <w:tcPr>
            <w:cnfStyle w:val="001000000000" w:firstRow="0" w:lastRow="0" w:firstColumn="1" w:lastColumn="0" w:oddVBand="0" w:evenVBand="0" w:oddHBand="0" w:evenHBand="0" w:firstRowFirstColumn="0" w:firstRowLastColumn="0" w:lastRowFirstColumn="0" w:lastRowLastColumn="0"/>
            <w:tcW w:w="2029" w:type="dxa"/>
            <w:noWrap/>
            <w:hideMark/>
          </w:tcPr>
          <w:p w14:paraId="71B0C01D" w14:textId="77777777" w:rsidR="00BA1E77" w:rsidRPr="00C62602" w:rsidRDefault="00BA1E77" w:rsidP="00C70998">
            <w:pPr>
              <w:pStyle w:val="JRCTabletext10pt"/>
            </w:pPr>
            <w:r w:rsidRPr="00C62602">
              <w:t>Business entity</w:t>
            </w:r>
          </w:p>
        </w:tc>
        <w:tc>
          <w:tcPr>
            <w:tcW w:w="2239" w:type="dxa"/>
            <w:noWrap/>
          </w:tcPr>
          <w:p w14:paraId="24C6FE4A"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p>
        </w:tc>
        <w:tc>
          <w:tcPr>
            <w:tcW w:w="2239" w:type="dxa"/>
            <w:noWrap/>
          </w:tcPr>
          <w:p w14:paraId="01162A23"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p>
        </w:tc>
        <w:tc>
          <w:tcPr>
            <w:tcW w:w="2239" w:type="dxa"/>
            <w:noWrap/>
            <w:hideMark/>
          </w:tcPr>
          <w:p w14:paraId="4A5B3E9B"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0</w:t>
            </w:r>
            <w:r>
              <w:t>.</w:t>
            </w:r>
            <w:r w:rsidRPr="00C62602">
              <w:t xml:space="preserve">08 </w:t>
            </w:r>
          </w:p>
        </w:tc>
        <w:tc>
          <w:tcPr>
            <w:tcW w:w="887" w:type="dxa"/>
            <w:noWrap/>
            <w:hideMark/>
          </w:tcPr>
          <w:p w14:paraId="297D9B80"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0</w:t>
            </w:r>
            <w:r>
              <w:t>.</w:t>
            </w:r>
            <w:r w:rsidRPr="00C62602">
              <w:t xml:space="preserve">08 </w:t>
            </w:r>
          </w:p>
        </w:tc>
      </w:tr>
      <w:tr w:rsidR="00BA1E77" w:rsidRPr="00C62602" w14:paraId="03508CC6" w14:textId="77777777" w:rsidTr="00C70998">
        <w:trPr>
          <w:trHeight w:val="220"/>
        </w:trPr>
        <w:tc>
          <w:tcPr>
            <w:cnfStyle w:val="001000000000" w:firstRow="0" w:lastRow="0" w:firstColumn="1" w:lastColumn="0" w:oddVBand="0" w:evenVBand="0" w:oddHBand="0" w:evenHBand="0" w:firstRowFirstColumn="0" w:firstRowLastColumn="0" w:lastRowFirstColumn="0" w:lastRowLastColumn="0"/>
            <w:tcW w:w="2029" w:type="dxa"/>
            <w:noWrap/>
            <w:hideMark/>
          </w:tcPr>
          <w:p w14:paraId="2745E0F5" w14:textId="77777777" w:rsidR="00BA1E77" w:rsidRPr="00C62602" w:rsidRDefault="00BA1E77" w:rsidP="00C70998">
            <w:pPr>
              <w:pStyle w:val="JRCTabletext10pt"/>
            </w:pPr>
            <w:r w:rsidRPr="00C62602">
              <w:t>Institution of Higher Education</w:t>
            </w:r>
          </w:p>
        </w:tc>
        <w:tc>
          <w:tcPr>
            <w:tcW w:w="2239" w:type="dxa"/>
            <w:noWrap/>
            <w:hideMark/>
          </w:tcPr>
          <w:p w14:paraId="3ED3DB44"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0</w:t>
            </w:r>
            <w:r>
              <w:t>.</w:t>
            </w:r>
            <w:r w:rsidRPr="00C62602">
              <w:t xml:space="preserve">08 </w:t>
            </w:r>
          </w:p>
        </w:tc>
        <w:tc>
          <w:tcPr>
            <w:tcW w:w="2239" w:type="dxa"/>
            <w:noWrap/>
            <w:hideMark/>
          </w:tcPr>
          <w:p w14:paraId="608F8563"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0</w:t>
            </w:r>
            <w:r>
              <w:t>.</w:t>
            </w:r>
            <w:r w:rsidRPr="00C62602">
              <w:t xml:space="preserve">52 </w:t>
            </w:r>
          </w:p>
        </w:tc>
        <w:tc>
          <w:tcPr>
            <w:tcW w:w="2239" w:type="dxa"/>
            <w:noWrap/>
            <w:hideMark/>
          </w:tcPr>
          <w:p w14:paraId="7CFCFDF4"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1</w:t>
            </w:r>
            <w:r>
              <w:t>.</w:t>
            </w:r>
            <w:r w:rsidRPr="00C62602">
              <w:t xml:space="preserve">36 </w:t>
            </w:r>
          </w:p>
        </w:tc>
        <w:tc>
          <w:tcPr>
            <w:tcW w:w="887" w:type="dxa"/>
            <w:noWrap/>
            <w:hideMark/>
          </w:tcPr>
          <w:p w14:paraId="10A7756D"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1</w:t>
            </w:r>
            <w:r>
              <w:t>.</w:t>
            </w:r>
            <w:r w:rsidRPr="00C62602">
              <w:t xml:space="preserve">96 </w:t>
            </w:r>
          </w:p>
        </w:tc>
      </w:tr>
      <w:tr w:rsidR="00BA1E77" w:rsidRPr="00C62602" w14:paraId="1233E7A8" w14:textId="77777777" w:rsidTr="00C70998">
        <w:trPr>
          <w:trHeight w:val="220"/>
        </w:trPr>
        <w:tc>
          <w:tcPr>
            <w:cnfStyle w:val="001000000000" w:firstRow="0" w:lastRow="0" w:firstColumn="1" w:lastColumn="0" w:oddVBand="0" w:evenVBand="0" w:oddHBand="0" w:evenHBand="0" w:firstRowFirstColumn="0" w:firstRowLastColumn="0" w:lastRowFirstColumn="0" w:lastRowLastColumn="0"/>
            <w:tcW w:w="2029" w:type="dxa"/>
            <w:noWrap/>
            <w:hideMark/>
          </w:tcPr>
          <w:p w14:paraId="443547EB" w14:textId="77777777" w:rsidR="00BA1E77" w:rsidRPr="00C62602" w:rsidRDefault="00BA1E77" w:rsidP="00C70998">
            <w:pPr>
              <w:pStyle w:val="JRCTabletext10pt"/>
            </w:pPr>
            <w:r w:rsidRPr="00C62602">
              <w:t>Public Institution</w:t>
            </w:r>
          </w:p>
        </w:tc>
        <w:tc>
          <w:tcPr>
            <w:tcW w:w="2239" w:type="dxa"/>
            <w:noWrap/>
            <w:hideMark/>
          </w:tcPr>
          <w:p w14:paraId="4B14E0DC"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0</w:t>
            </w:r>
            <w:r>
              <w:t>.</w:t>
            </w:r>
            <w:r w:rsidRPr="00C62602">
              <w:t xml:space="preserve">04 </w:t>
            </w:r>
          </w:p>
        </w:tc>
        <w:tc>
          <w:tcPr>
            <w:tcW w:w="2239" w:type="dxa"/>
            <w:noWrap/>
            <w:hideMark/>
          </w:tcPr>
          <w:p w14:paraId="7B032445"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0</w:t>
            </w:r>
            <w:r>
              <w:t>.</w:t>
            </w:r>
            <w:r w:rsidRPr="00C62602">
              <w:t xml:space="preserve">11 </w:t>
            </w:r>
          </w:p>
        </w:tc>
        <w:tc>
          <w:tcPr>
            <w:tcW w:w="2239" w:type="dxa"/>
            <w:noWrap/>
            <w:hideMark/>
          </w:tcPr>
          <w:p w14:paraId="42936ECA"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0</w:t>
            </w:r>
            <w:r>
              <w:t>.</w:t>
            </w:r>
            <w:r w:rsidRPr="00C62602">
              <w:t xml:space="preserve">08 </w:t>
            </w:r>
          </w:p>
        </w:tc>
        <w:tc>
          <w:tcPr>
            <w:tcW w:w="887" w:type="dxa"/>
            <w:noWrap/>
            <w:hideMark/>
          </w:tcPr>
          <w:p w14:paraId="2D0E21D0"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0</w:t>
            </w:r>
            <w:r>
              <w:t>.</w:t>
            </w:r>
            <w:r w:rsidRPr="00C62602">
              <w:t>2</w:t>
            </w:r>
            <w:r>
              <w:t>3</w:t>
            </w:r>
            <w:r w:rsidRPr="00C62602">
              <w:t xml:space="preserve"> </w:t>
            </w:r>
          </w:p>
        </w:tc>
      </w:tr>
      <w:tr w:rsidR="00BA1E77" w:rsidRPr="00C62602" w14:paraId="646DFD29" w14:textId="77777777" w:rsidTr="00C70998">
        <w:trPr>
          <w:trHeight w:val="220"/>
        </w:trPr>
        <w:tc>
          <w:tcPr>
            <w:cnfStyle w:val="001000000000" w:firstRow="0" w:lastRow="0" w:firstColumn="1" w:lastColumn="0" w:oddVBand="0" w:evenVBand="0" w:oddHBand="0" w:evenHBand="0" w:firstRowFirstColumn="0" w:firstRowLastColumn="0" w:lastRowFirstColumn="0" w:lastRowLastColumn="0"/>
            <w:tcW w:w="2029" w:type="dxa"/>
            <w:noWrap/>
            <w:hideMark/>
          </w:tcPr>
          <w:p w14:paraId="6C4AC942" w14:textId="77777777" w:rsidR="00BA1E77" w:rsidRPr="00C62602" w:rsidRDefault="00BA1E77" w:rsidP="00C70998">
            <w:pPr>
              <w:pStyle w:val="JRCTabletext10pt"/>
            </w:pPr>
            <w:r w:rsidRPr="00C62602">
              <w:t>Research Institute</w:t>
            </w:r>
          </w:p>
        </w:tc>
        <w:tc>
          <w:tcPr>
            <w:tcW w:w="2239" w:type="dxa"/>
            <w:noWrap/>
            <w:hideMark/>
          </w:tcPr>
          <w:p w14:paraId="0C17CFC8"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p>
        </w:tc>
        <w:tc>
          <w:tcPr>
            <w:tcW w:w="2239" w:type="dxa"/>
            <w:noWrap/>
            <w:hideMark/>
          </w:tcPr>
          <w:p w14:paraId="088AE73A"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0</w:t>
            </w:r>
            <w:r>
              <w:t>.</w:t>
            </w:r>
            <w:r w:rsidRPr="00C62602">
              <w:t xml:space="preserve">07 </w:t>
            </w:r>
          </w:p>
        </w:tc>
        <w:tc>
          <w:tcPr>
            <w:tcW w:w="2239" w:type="dxa"/>
            <w:noWrap/>
            <w:hideMark/>
          </w:tcPr>
          <w:p w14:paraId="53D55F0E"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p>
        </w:tc>
        <w:tc>
          <w:tcPr>
            <w:tcW w:w="887" w:type="dxa"/>
            <w:noWrap/>
            <w:hideMark/>
          </w:tcPr>
          <w:p w14:paraId="3BAC84C3"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0</w:t>
            </w:r>
            <w:r>
              <w:t>.</w:t>
            </w:r>
            <w:r w:rsidRPr="00C62602">
              <w:t xml:space="preserve">07 </w:t>
            </w:r>
          </w:p>
        </w:tc>
      </w:tr>
      <w:tr w:rsidR="00BA1E77" w:rsidRPr="00C62602" w14:paraId="7119BB9E" w14:textId="77777777" w:rsidTr="00C70998">
        <w:trPr>
          <w:trHeight w:val="220"/>
        </w:trPr>
        <w:tc>
          <w:tcPr>
            <w:cnfStyle w:val="001000000000" w:firstRow="0" w:lastRow="0" w:firstColumn="1" w:lastColumn="0" w:oddVBand="0" w:evenVBand="0" w:oddHBand="0" w:evenHBand="0" w:firstRowFirstColumn="0" w:firstRowLastColumn="0" w:lastRowFirstColumn="0" w:lastRowLastColumn="0"/>
            <w:tcW w:w="2029" w:type="dxa"/>
            <w:noWrap/>
            <w:hideMark/>
          </w:tcPr>
          <w:p w14:paraId="6A96034E" w14:textId="77777777" w:rsidR="00BA1E77" w:rsidRPr="00C62602" w:rsidRDefault="00BA1E77" w:rsidP="00C70998">
            <w:pPr>
              <w:pStyle w:val="JRCTabletext10pt"/>
              <w:rPr>
                <w:b w:val="0"/>
                <w:bCs/>
              </w:rPr>
            </w:pPr>
            <w:r w:rsidRPr="00C62602">
              <w:rPr>
                <w:bCs/>
              </w:rPr>
              <w:t>Total</w:t>
            </w:r>
          </w:p>
        </w:tc>
        <w:tc>
          <w:tcPr>
            <w:tcW w:w="2239" w:type="dxa"/>
            <w:noWrap/>
            <w:hideMark/>
          </w:tcPr>
          <w:p w14:paraId="1809B961"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rPr>
                <w:bCs/>
              </w:rPr>
            </w:pPr>
            <w:r w:rsidRPr="00C62602">
              <w:rPr>
                <w:bCs/>
              </w:rPr>
              <w:t>0</w:t>
            </w:r>
            <w:r>
              <w:rPr>
                <w:bCs/>
              </w:rPr>
              <w:t>.</w:t>
            </w:r>
            <w:r w:rsidRPr="00C62602">
              <w:rPr>
                <w:bCs/>
              </w:rPr>
              <w:t xml:space="preserve">13 </w:t>
            </w:r>
          </w:p>
        </w:tc>
        <w:tc>
          <w:tcPr>
            <w:tcW w:w="2239" w:type="dxa"/>
            <w:noWrap/>
            <w:hideMark/>
          </w:tcPr>
          <w:p w14:paraId="4819833F"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rPr>
                <w:bCs/>
              </w:rPr>
            </w:pPr>
            <w:r w:rsidRPr="00C62602">
              <w:rPr>
                <w:bCs/>
              </w:rPr>
              <w:t>0</w:t>
            </w:r>
            <w:r>
              <w:rPr>
                <w:bCs/>
              </w:rPr>
              <w:t>.</w:t>
            </w:r>
            <w:r w:rsidRPr="00C62602">
              <w:rPr>
                <w:bCs/>
              </w:rPr>
              <w:t xml:space="preserve">69 </w:t>
            </w:r>
          </w:p>
        </w:tc>
        <w:tc>
          <w:tcPr>
            <w:tcW w:w="2239" w:type="dxa"/>
            <w:noWrap/>
            <w:hideMark/>
          </w:tcPr>
          <w:p w14:paraId="15CCECE5"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rPr>
                <w:bCs/>
              </w:rPr>
            </w:pPr>
            <w:r w:rsidRPr="00C62602">
              <w:rPr>
                <w:bCs/>
              </w:rPr>
              <w:t>1</w:t>
            </w:r>
            <w:r>
              <w:rPr>
                <w:bCs/>
              </w:rPr>
              <w:t>.</w:t>
            </w:r>
            <w:r w:rsidRPr="00C62602">
              <w:rPr>
                <w:bCs/>
              </w:rPr>
              <w:t xml:space="preserve">53 </w:t>
            </w:r>
          </w:p>
        </w:tc>
        <w:tc>
          <w:tcPr>
            <w:tcW w:w="887" w:type="dxa"/>
            <w:noWrap/>
            <w:hideMark/>
          </w:tcPr>
          <w:p w14:paraId="71A8BAF8"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rPr>
                <w:bCs/>
              </w:rPr>
            </w:pPr>
            <w:r w:rsidRPr="00C62602">
              <w:rPr>
                <w:bCs/>
              </w:rPr>
              <w:t>2</w:t>
            </w:r>
            <w:r>
              <w:rPr>
                <w:bCs/>
              </w:rPr>
              <w:t>.</w:t>
            </w:r>
            <w:r w:rsidRPr="00C62602">
              <w:rPr>
                <w:bCs/>
              </w:rPr>
              <w:t>3</w:t>
            </w:r>
            <w:r>
              <w:rPr>
                <w:bCs/>
              </w:rPr>
              <w:t>5</w:t>
            </w:r>
            <w:r w:rsidRPr="00C62602">
              <w:rPr>
                <w:bCs/>
              </w:rPr>
              <w:t xml:space="preserve"> </w:t>
            </w:r>
          </w:p>
        </w:tc>
      </w:tr>
    </w:tbl>
    <w:p w14:paraId="033FA299" w14:textId="77777777" w:rsidR="00BA1E77" w:rsidRPr="00174381" w:rsidRDefault="00BA1E77" w:rsidP="00BA1E77">
      <w:pPr>
        <w:pStyle w:val="JRCTablesource"/>
      </w:pPr>
      <w:r w:rsidRPr="00174381">
        <w:rPr>
          <w:b/>
          <w:bCs/>
        </w:rPr>
        <w:t>Source:</w:t>
      </w:r>
      <w:r w:rsidRPr="00174381">
        <w:t xml:space="preserve"> Ministry of Education, Science and Innovation</w:t>
      </w:r>
    </w:p>
    <w:p w14:paraId="3B4D8759" w14:textId="77777777" w:rsidR="00BA1E77" w:rsidRPr="00DB00D1" w:rsidRDefault="00BA1E77" w:rsidP="00BA1E77">
      <w:pPr>
        <w:pStyle w:val="JRCText"/>
      </w:pPr>
    </w:p>
    <w:p w14:paraId="284E2AEA" w14:textId="77777777" w:rsidR="00BA1E77" w:rsidRPr="0064078F" w:rsidRDefault="00BA1E77" w:rsidP="00BA1E77">
      <w:pPr>
        <w:pStyle w:val="JRCText"/>
      </w:pPr>
      <w:r w:rsidRPr="0064078F">
        <w:lastRenderedPageBreak/>
        <w:t xml:space="preserve">Considering S3 priorities, Energy and sustainable environment and Sustainable agriculture and the food value chain have received the largest amount, approximately </w:t>
      </w:r>
      <w:r>
        <w:rPr>
          <w:color w:val="000000"/>
        </w:rPr>
        <w:t xml:space="preserve">EUR </w:t>
      </w:r>
      <w:r w:rsidRPr="0064078F">
        <w:t>800 thousand each (see Table 6). The total amount received by the former can be similarly divided between National Scientific Research Projects (2019-2022), and National Scientific Research Projects (2023). The total amount received by the latter instead is concentrated for the 88% in the National Scientific Research Projects (2023). While the Covid-19 program has financed other priorities such as ICT. Considering industrial sectors, Agriculture, Forestry and Fishing (NACE A) and Information and Communication (NACE J) are the most financed sectors, capturing together almost 70% of the allocated budget (50% by sector A).</w:t>
      </w:r>
    </w:p>
    <w:p w14:paraId="59D12BB9" w14:textId="77777777" w:rsidR="00BA1E77" w:rsidRPr="0064078F" w:rsidRDefault="00BA1E77" w:rsidP="00BA1E77">
      <w:pPr>
        <w:pStyle w:val="JRCText"/>
      </w:pPr>
      <w:r w:rsidRPr="0064078F">
        <w:t xml:space="preserve">In terms of the capabilities of cities/municipalities to attract funds, Podgorica, as expected, leads the group with </w:t>
      </w:r>
      <w:r>
        <w:rPr>
          <w:color w:val="000000"/>
        </w:rPr>
        <w:t xml:space="preserve">EUR </w:t>
      </w:r>
      <w:r w:rsidRPr="0064078F">
        <w:t xml:space="preserve">2 million, followed by significant distance by Kotor and </w:t>
      </w:r>
      <w:proofErr w:type="spellStart"/>
      <w:r w:rsidRPr="0064078F">
        <w:t>Berane</w:t>
      </w:r>
      <w:proofErr w:type="spellEnd"/>
      <w:r w:rsidRPr="0064078F">
        <w:t>, respectively, with</w:t>
      </w:r>
      <w:r>
        <w:t xml:space="preserve"> </w:t>
      </w:r>
      <w:r>
        <w:rPr>
          <w:color w:val="000000"/>
        </w:rPr>
        <w:t xml:space="preserve">EUR </w:t>
      </w:r>
      <w:r w:rsidRPr="0064078F">
        <w:t>0,84 and</w:t>
      </w:r>
      <w:r>
        <w:rPr>
          <w:rFonts w:ascii="Calibri" w:hAnsi="Calibri" w:cs="Calibri"/>
        </w:rPr>
        <w:t> </w:t>
      </w:r>
      <w:r>
        <w:rPr>
          <w:color w:val="000000"/>
        </w:rPr>
        <w:t xml:space="preserve">EUR </w:t>
      </w:r>
      <w:r w:rsidRPr="0064078F">
        <w:t>0,166 million.</w:t>
      </w:r>
    </w:p>
    <w:p w14:paraId="48873472" w14:textId="77777777" w:rsidR="00BA1E77" w:rsidRPr="00DB00D1" w:rsidRDefault="00BA1E77" w:rsidP="00BA1E77">
      <w:pPr>
        <w:pStyle w:val="JRCTabletitle"/>
      </w:pPr>
      <w:bookmarkStart w:id="59" w:name="_Toc220938958"/>
      <w:bookmarkStart w:id="60" w:name="_Toc221271668"/>
      <w:r w:rsidRPr="00C62602">
        <w:rPr>
          <w:b/>
          <w:bCs/>
        </w:rPr>
        <w:t xml:space="preserve">Table </w:t>
      </w:r>
      <w:r w:rsidRPr="00C62602">
        <w:rPr>
          <w:b/>
          <w:bCs/>
        </w:rPr>
        <w:fldChar w:fldCharType="begin"/>
      </w:r>
      <w:r w:rsidRPr="00C62602">
        <w:rPr>
          <w:b/>
          <w:bCs/>
        </w:rPr>
        <w:instrText xml:space="preserve"> SEQ Table \* ARABIC </w:instrText>
      </w:r>
      <w:r w:rsidRPr="00C62602">
        <w:rPr>
          <w:b/>
          <w:bCs/>
        </w:rPr>
        <w:fldChar w:fldCharType="separate"/>
      </w:r>
      <w:r>
        <w:rPr>
          <w:b/>
          <w:bCs/>
          <w:noProof/>
        </w:rPr>
        <w:t>6</w:t>
      </w:r>
      <w:r w:rsidRPr="00C62602">
        <w:rPr>
          <w:b/>
          <w:bCs/>
        </w:rPr>
        <w:fldChar w:fldCharType="end"/>
      </w:r>
      <w:r>
        <w:rPr>
          <w:b/>
          <w:bCs/>
        </w:rPr>
        <w:t>.</w:t>
      </w:r>
      <w:r w:rsidRPr="00DB00D1">
        <w:t xml:space="preserve"> Financing received by S3 priority for each national scientific program (</w:t>
      </w:r>
      <w:r>
        <w:rPr>
          <w:color w:val="000000"/>
        </w:rPr>
        <w:t xml:space="preserve">EUR </w:t>
      </w:r>
      <w:r w:rsidRPr="00DB00D1">
        <w:t>million)</w:t>
      </w:r>
      <w:bookmarkEnd w:id="59"/>
      <w:bookmarkEnd w:id="60"/>
    </w:p>
    <w:tbl>
      <w:tblPr>
        <w:tblStyle w:val="JRCTableBasic"/>
        <w:tblW w:w="9634" w:type="dxa"/>
        <w:tblLook w:val="04A0" w:firstRow="1" w:lastRow="0" w:firstColumn="1" w:lastColumn="0" w:noHBand="0" w:noVBand="1"/>
      </w:tblPr>
      <w:tblGrid>
        <w:gridCol w:w="1276"/>
        <w:gridCol w:w="1309"/>
        <w:gridCol w:w="822"/>
        <w:gridCol w:w="1276"/>
        <w:gridCol w:w="1418"/>
        <w:gridCol w:w="1559"/>
        <w:gridCol w:w="1243"/>
        <w:gridCol w:w="850"/>
      </w:tblGrid>
      <w:tr w:rsidR="00BA1E77" w:rsidRPr="00C62602" w14:paraId="19589C53" w14:textId="77777777" w:rsidTr="00C70998">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1269" w:type="dxa"/>
            <w:noWrap/>
            <w:hideMark/>
          </w:tcPr>
          <w:p w14:paraId="05F3C3E6" w14:textId="77777777" w:rsidR="00BA1E77" w:rsidRPr="00C62602" w:rsidRDefault="00BA1E77" w:rsidP="00C70998">
            <w:pPr>
              <w:pStyle w:val="JRCTabletext10pt"/>
            </w:pPr>
          </w:p>
        </w:tc>
        <w:tc>
          <w:tcPr>
            <w:tcW w:w="8365" w:type="dxa"/>
            <w:gridSpan w:val="7"/>
            <w:noWrap/>
            <w:hideMark/>
          </w:tcPr>
          <w:p w14:paraId="73AEF0CB" w14:textId="77777777" w:rsidR="00BA1E77" w:rsidRPr="00C62602" w:rsidRDefault="00BA1E77" w:rsidP="00C70998">
            <w:pPr>
              <w:pStyle w:val="JRCTabletext10pt"/>
              <w:cnfStyle w:val="100000000000" w:firstRow="1" w:lastRow="0" w:firstColumn="0" w:lastColumn="0" w:oddVBand="0" w:evenVBand="0" w:oddHBand="0" w:evenHBand="0" w:firstRowFirstColumn="0" w:firstRowLastColumn="0" w:lastRowFirstColumn="0" w:lastRowLastColumn="0"/>
              <w:rPr>
                <w:b w:val="0"/>
                <w:bCs/>
              </w:rPr>
            </w:pPr>
            <w:r w:rsidRPr="00C62602">
              <w:rPr>
                <w:bCs/>
              </w:rPr>
              <w:t>S3 priority areas</w:t>
            </w:r>
          </w:p>
        </w:tc>
      </w:tr>
      <w:tr w:rsidR="00BA1E77" w:rsidRPr="00C62602" w14:paraId="19204104" w14:textId="77777777" w:rsidTr="00C70998">
        <w:trPr>
          <w:trHeight w:val="349"/>
        </w:trPr>
        <w:tc>
          <w:tcPr>
            <w:cnfStyle w:val="001000000000" w:firstRow="0" w:lastRow="0" w:firstColumn="1" w:lastColumn="0" w:oddVBand="0" w:evenVBand="0" w:oddHBand="0" w:evenHBand="0" w:firstRowFirstColumn="0" w:firstRowLastColumn="0" w:lastRowFirstColumn="0" w:lastRowLastColumn="0"/>
            <w:tcW w:w="1269" w:type="dxa"/>
            <w:noWrap/>
            <w:hideMark/>
          </w:tcPr>
          <w:p w14:paraId="7771EA4D" w14:textId="77777777" w:rsidR="00BA1E77" w:rsidRPr="00C62602" w:rsidRDefault="00BA1E77" w:rsidP="00C70998">
            <w:pPr>
              <w:pStyle w:val="JRCTabletext10pt"/>
              <w:rPr>
                <w:b w:val="0"/>
                <w:bCs/>
              </w:rPr>
            </w:pPr>
            <w:r w:rsidRPr="00C62602">
              <w:rPr>
                <w:bCs/>
              </w:rPr>
              <w:t>Type of programme</w:t>
            </w:r>
          </w:p>
        </w:tc>
        <w:tc>
          <w:tcPr>
            <w:tcW w:w="1306" w:type="dxa"/>
            <w:noWrap/>
            <w:hideMark/>
          </w:tcPr>
          <w:p w14:paraId="6836771E"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rPr>
                <w:bCs/>
              </w:rPr>
            </w:pPr>
            <w:r w:rsidRPr="00C62602">
              <w:rPr>
                <w:bCs/>
              </w:rPr>
              <w:t>Energy and sustainable environment</w:t>
            </w:r>
          </w:p>
        </w:tc>
        <w:tc>
          <w:tcPr>
            <w:tcW w:w="822" w:type="dxa"/>
            <w:noWrap/>
            <w:hideMark/>
          </w:tcPr>
          <w:p w14:paraId="0C84B083"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rPr>
                <w:bCs/>
              </w:rPr>
            </w:pPr>
            <w:r w:rsidRPr="00C62602">
              <w:rPr>
                <w:bCs/>
              </w:rPr>
              <w:t>ICT</w:t>
            </w:r>
          </w:p>
        </w:tc>
        <w:tc>
          <w:tcPr>
            <w:tcW w:w="1276" w:type="dxa"/>
            <w:noWrap/>
            <w:hideMark/>
          </w:tcPr>
          <w:p w14:paraId="597459AB"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rPr>
                <w:bCs/>
              </w:rPr>
            </w:pPr>
            <w:r w:rsidRPr="00C62602">
              <w:rPr>
                <w:bCs/>
              </w:rPr>
              <w:t>ICT; Sustainable and Health Tourism</w:t>
            </w:r>
          </w:p>
        </w:tc>
        <w:tc>
          <w:tcPr>
            <w:tcW w:w="1418" w:type="dxa"/>
            <w:noWrap/>
            <w:hideMark/>
          </w:tcPr>
          <w:p w14:paraId="5FA0EB48"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rPr>
                <w:bCs/>
              </w:rPr>
            </w:pPr>
            <w:r w:rsidRPr="00C62602">
              <w:rPr>
                <w:bCs/>
              </w:rPr>
              <w:t>Sustainable agriculture and the food value chain</w:t>
            </w:r>
          </w:p>
        </w:tc>
        <w:tc>
          <w:tcPr>
            <w:tcW w:w="1559" w:type="dxa"/>
            <w:noWrap/>
            <w:hideMark/>
          </w:tcPr>
          <w:p w14:paraId="3B6F1428"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rPr>
                <w:bCs/>
              </w:rPr>
            </w:pPr>
            <w:r w:rsidRPr="00C62602">
              <w:rPr>
                <w:bCs/>
              </w:rPr>
              <w:t>Sustainable agriculture and the food value chain; ICT</w:t>
            </w:r>
          </w:p>
        </w:tc>
        <w:tc>
          <w:tcPr>
            <w:tcW w:w="1134" w:type="dxa"/>
            <w:noWrap/>
            <w:hideMark/>
          </w:tcPr>
          <w:p w14:paraId="2F6504B2"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rPr>
                <w:bCs/>
              </w:rPr>
            </w:pPr>
            <w:r w:rsidRPr="00C62602">
              <w:rPr>
                <w:bCs/>
              </w:rPr>
              <w:t>Sustainable and Health Tourism</w:t>
            </w:r>
          </w:p>
        </w:tc>
        <w:tc>
          <w:tcPr>
            <w:tcW w:w="850" w:type="dxa"/>
            <w:noWrap/>
            <w:hideMark/>
          </w:tcPr>
          <w:p w14:paraId="5171E30D"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rPr>
                <w:bCs/>
              </w:rPr>
            </w:pPr>
            <w:r w:rsidRPr="00C62602">
              <w:rPr>
                <w:bCs/>
              </w:rPr>
              <w:t>Total</w:t>
            </w:r>
          </w:p>
        </w:tc>
      </w:tr>
      <w:tr w:rsidR="00BA1E77" w:rsidRPr="00C62602" w14:paraId="1260D00C" w14:textId="77777777" w:rsidTr="00C70998">
        <w:trPr>
          <w:trHeight w:val="349"/>
        </w:trPr>
        <w:tc>
          <w:tcPr>
            <w:cnfStyle w:val="001000000000" w:firstRow="0" w:lastRow="0" w:firstColumn="1" w:lastColumn="0" w:oddVBand="0" w:evenVBand="0" w:oddHBand="0" w:evenHBand="0" w:firstRowFirstColumn="0" w:firstRowLastColumn="0" w:lastRowFirstColumn="0" w:lastRowLastColumn="0"/>
            <w:tcW w:w="1269" w:type="dxa"/>
            <w:noWrap/>
            <w:hideMark/>
          </w:tcPr>
          <w:p w14:paraId="056B0163" w14:textId="77777777" w:rsidR="00BA1E77" w:rsidRPr="00C62602" w:rsidRDefault="00BA1E77" w:rsidP="00C70998">
            <w:pPr>
              <w:pStyle w:val="JRCTabletext10pt"/>
            </w:pPr>
            <w:r w:rsidRPr="00C62602">
              <w:t>Covid-19 programme</w:t>
            </w:r>
          </w:p>
        </w:tc>
        <w:tc>
          <w:tcPr>
            <w:tcW w:w="1306" w:type="dxa"/>
            <w:noWrap/>
          </w:tcPr>
          <w:p w14:paraId="7520D8A7"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p>
        </w:tc>
        <w:tc>
          <w:tcPr>
            <w:tcW w:w="822" w:type="dxa"/>
            <w:noWrap/>
          </w:tcPr>
          <w:p w14:paraId="08246686"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0</w:t>
            </w:r>
            <w:r>
              <w:t>.</w:t>
            </w:r>
            <w:r w:rsidRPr="00C62602">
              <w:t xml:space="preserve">04 </w:t>
            </w:r>
          </w:p>
        </w:tc>
        <w:tc>
          <w:tcPr>
            <w:tcW w:w="1276" w:type="dxa"/>
            <w:noWrap/>
          </w:tcPr>
          <w:p w14:paraId="777DCCDC"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0</w:t>
            </w:r>
            <w:r>
              <w:t>.</w:t>
            </w:r>
            <w:r w:rsidRPr="00C62602">
              <w:t xml:space="preserve">04 </w:t>
            </w:r>
          </w:p>
        </w:tc>
        <w:tc>
          <w:tcPr>
            <w:tcW w:w="1418" w:type="dxa"/>
            <w:noWrap/>
          </w:tcPr>
          <w:p w14:paraId="30291E3E"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p>
        </w:tc>
        <w:tc>
          <w:tcPr>
            <w:tcW w:w="1559" w:type="dxa"/>
            <w:noWrap/>
          </w:tcPr>
          <w:p w14:paraId="3479EFFD"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p>
        </w:tc>
        <w:tc>
          <w:tcPr>
            <w:tcW w:w="1134" w:type="dxa"/>
            <w:noWrap/>
          </w:tcPr>
          <w:p w14:paraId="44F890FB"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0</w:t>
            </w:r>
            <w:r>
              <w:t>.</w:t>
            </w:r>
            <w:r w:rsidRPr="00C62602">
              <w:t xml:space="preserve">04 </w:t>
            </w:r>
          </w:p>
        </w:tc>
        <w:tc>
          <w:tcPr>
            <w:tcW w:w="850" w:type="dxa"/>
            <w:noWrap/>
          </w:tcPr>
          <w:p w14:paraId="0EDEBF62"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0</w:t>
            </w:r>
            <w:r>
              <w:t>.</w:t>
            </w:r>
            <w:r w:rsidRPr="00C62602">
              <w:t>1</w:t>
            </w:r>
            <w:r>
              <w:t>2</w:t>
            </w:r>
            <w:r w:rsidRPr="00C62602">
              <w:t xml:space="preserve"> </w:t>
            </w:r>
          </w:p>
        </w:tc>
      </w:tr>
      <w:tr w:rsidR="00BA1E77" w:rsidRPr="00C62602" w14:paraId="440827AC" w14:textId="77777777" w:rsidTr="00C70998">
        <w:trPr>
          <w:trHeight w:val="349"/>
        </w:trPr>
        <w:tc>
          <w:tcPr>
            <w:cnfStyle w:val="001000000000" w:firstRow="0" w:lastRow="0" w:firstColumn="1" w:lastColumn="0" w:oddVBand="0" w:evenVBand="0" w:oddHBand="0" w:evenHBand="0" w:firstRowFirstColumn="0" w:firstRowLastColumn="0" w:lastRowFirstColumn="0" w:lastRowLastColumn="0"/>
            <w:tcW w:w="1269" w:type="dxa"/>
            <w:noWrap/>
            <w:hideMark/>
          </w:tcPr>
          <w:p w14:paraId="271A0DBD" w14:textId="77777777" w:rsidR="00BA1E77" w:rsidRPr="00C62602" w:rsidRDefault="00BA1E77" w:rsidP="00C70998">
            <w:pPr>
              <w:pStyle w:val="JRCTabletext10pt"/>
            </w:pPr>
            <w:r w:rsidRPr="00C62602">
              <w:t>National scientific research projects (2019-2022)</w:t>
            </w:r>
          </w:p>
        </w:tc>
        <w:tc>
          <w:tcPr>
            <w:tcW w:w="1306" w:type="dxa"/>
            <w:noWrap/>
          </w:tcPr>
          <w:p w14:paraId="2D8DDA09"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0</w:t>
            </w:r>
            <w:r>
              <w:t>.</w:t>
            </w:r>
            <w:r w:rsidRPr="00C62602">
              <w:t xml:space="preserve">34 </w:t>
            </w:r>
          </w:p>
        </w:tc>
        <w:tc>
          <w:tcPr>
            <w:tcW w:w="822" w:type="dxa"/>
            <w:noWrap/>
          </w:tcPr>
          <w:p w14:paraId="35F264F6"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0</w:t>
            </w:r>
            <w:r>
              <w:t>.</w:t>
            </w:r>
            <w:r w:rsidRPr="00C62602">
              <w:t xml:space="preserve">14 </w:t>
            </w:r>
          </w:p>
        </w:tc>
        <w:tc>
          <w:tcPr>
            <w:tcW w:w="1276" w:type="dxa"/>
            <w:noWrap/>
          </w:tcPr>
          <w:p w14:paraId="2F17F51B"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p>
        </w:tc>
        <w:tc>
          <w:tcPr>
            <w:tcW w:w="1418" w:type="dxa"/>
            <w:noWrap/>
          </w:tcPr>
          <w:p w14:paraId="4522C814"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0</w:t>
            </w:r>
            <w:r>
              <w:t>.</w:t>
            </w:r>
            <w:r w:rsidRPr="00C62602">
              <w:t xml:space="preserve">10 </w:t>
            </w:r>
          </w:p>
        </w:tc>
        <w:tc>
          <w:tcPr>
            <w:tcW w:w="1559" w:type="dxa"/>
            <w:noWrap/>
          </w:tcPr>
          <w:p w14:paraId="626274BD"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0</w:t>
            </w:r>
            <w:r>
              <w:t>.</w:t>
            </w:r>
            <w:r w:rsidRPr="00C62602">
              <w:t xml:space="preserve">12 </w:t>
            </w:r>
          </w:p>
        </w:tc>
        <w:tc>
          <w:tcPr>
            <w:tcW w:w="1134" w:type="dxa"/>
            <w:noWrap/>
          </w:tcPr>
          <w:p w14:paraId="76256FD1"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0</w:t>
            </w:r>
            <w:r>
              <w:t>.</w:t>
            </w:r>
            <w:r w:rsidRPr="00C62602">
              <w:t xml:space="preserve">00 </w:t>
            </w:r>
          </w:p>
        </w:tc>
        <w:tc>
          <w:tcPr>
            <w:tcW w:w="850" w:type="dxa"/>
            <w:noWrap/>
          </w:tcPr>
          <w:p w14:paraId="153F9A1E"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0</w:t>
            </w:r>
            <w:r>
              <w:t>.70</w:t>
            </w:r>
            <w:r w:rsidRPr="00C62602">
              <w:t xml:space="preserve"> </w:t>
            </w:r>
          </w:p>
        </w:tc>
      </w:tr>
      <w:tr w:rsidR="00BA1E77" w:rsidRPr="00C62602" w14:paraId="1D983C79" w14:textId="77777777" w:rsidTr="00C70998">
        <w:trPr>
          <w:trHeight w:val="349"/>
        </w:trPr>
        <w:tc>
          <w:tcPr>
            <w:cnfStyle w:val="001000000000" w:firstRow="0" w:lastRow="0" w:firstColumn="1" w:lastColumn="0" w:oddVBand="0" w:evenVBand="0" w:oddHBand="0" w:evenHBand="0" w:firstRowFirstColumn="0" w:firstRowLastColumn="0" w:lastRowFirstColumn="0" w:lastRowLastColumn="0"/>
            <w:tcW w:w="1269" w:type="dxa"/>
            <w:noWrap/>
            <w:hideMark/>
          </w:tcPr>
          <w:p w14:paraId="07E6C2DC" w14:textId="77777777" w:rsidR="00BA1E77" w:rsidRPr="00C62602" w:rsidRDefault="00BA1E77" w:rsidP="00C70998">
            <w:pPr>
              <w:pStyle w:val="JRCTabletext10pt"/>
            </w:pPr>
            <w:r w:rsidRPr="00C62602">
              <w:t>National scientific research projects 2023</w:t>
            </w:r>
          </w:p>
        </w:tc>
        <w:tc>
          <w:tcPr>
            <w:tcW w:w="1306" w:type="dxa"/>
            <w:noWrap/>
          </w:tcPr>
          <w:p w14:paraId="3ACE2F70"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0</w:t>
            </w:r>
            <w:r>
              <w:t>.</w:t>
            </w:r>
            <w:r w:rsidRPr="00C62602">
              <w:t xml:space="preserve">46 </w:t>
            </w:r>
          </w:p>
        </w:tc>
        <w:tc>
          <w:tcPr>
            <w:tcW w:w="822" w:type="dxa"/>
            <w:noWrap/>
          </w:tcPr>
          <w:p w14:paraId="12FEBA66"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0</w:t>
            </w:r>
            <w:r>
              <w:t>.</w:t>
            </w:r>
            <w:r w:rsidRPr="00C62602">
              <w:t xml:space="preserve">36 </w:t>
            </w:r>
          </w:p>
        </w:tc>
        <w:tc>
          <w:tcPr>
            <w:tcW w:w="1276" w:type="dxa"/>
            <w:noWrap/>
          </w:tcPr>
          <w:p w14:paraId="5141A54F"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p>
        </w:tc>
        <w:tc>
          <w:tcPr>
            <w:tcW w:w="1418" w:type="dxa"/>
            <w:noWrap/>
          </w:tcPr>
          <w:p w14:paraId="5E6FA1C3"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0</w:t>
            </w:r>
            <w:r>
              <w:t>.</w:t>
            </w:r>
            <w:r w:rsidRPr="00C62602">
              <w:t xml:space="preserve">71 </w:t>
            </w:r>
          </w:p>
        </w:tc>
        <w:tc>
          <w:tcPr>
            <w:tcW w:w="1559" w:type="dxa"/>
            <w:noWrap/>
          </w:tcPr>
          <w:p w14:paraId="7B9D9C6A"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p>
        </w:tc>
        <w:tc>
          <w:tcPr>
            <w:tcW w:w="1134" w:type="dxa"/>
            <w:noWrap/>
          </w:tcPr>
          <w:p w14:paraId="688681E5"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0</w:t>
            </w:r>
            <w:r>
              <w:t>.</w:t>
            </w:r>
            <w:r w:rsidRPr="00C62602">
              <w:t xml:space="preserve">00 </w:t>
            </w:r>
          </w:p>
        </w:tc>
        <w:tc>
          <w:tcPr>
            <w:tcW w:w="850" w:type="dxa"/>
            <w:noWrap/>
          </w:tcPr>
          <w:p w14:paraId="0B3223E8"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1</w:t>
            </w:r>
            <w:r>
              <w:t>.</w:t>
            </w:r>
            <w:r w:rsidRPr="00C62602">
              <w:t xml:space="preserve">53 </w:t>
            </w:r>
          </w:p>
        </w:tc>
      </w:tr>
      <w:tr w:rsidR="00BA1E77" w:rsidRPr="00C62602" w14:paraId="2D8BDE50" w14:textId="77777777" w:rsidTr="00C70998">
        <w:trPr>
          <w:trHeight w:val="49"/>
        </w:trPr>
        <w:tc>
          <w:tcPr>
            <w:cnfStyle w:val="001000000000" w:firstRow="0" w:lastRow="0" w:firstColumn="1" w:lastColumn="0" w:oddVBand="0" w:evenVBand="0" w:oddHBand="0" w:evenHBand="0" w:firstRowFirstColumn="0" w:firstRowLastColumn="0" w:lastRowFirstColumn="0" w:lastRowLastColumn="0"/>
            <w:tcW w:w="1269" w:type="dxa"/>
            <w:noWrap/>
            <w:hideMark/>
          </w:tcPr>
          <w:p w14:paraId="7454A27B" w14:textId="77777777" w:rsidR="00BA1E77" w:rsidRPr="00C62602" w:rsidRDefault="00BA1E77" w:rsidP="00C70998">
            <w:pPr>
              <w:pStyle w:val="JRCTabletext10pt"/>
              <w:rPr>
                <w:b w:val="0"/>
                <w:bCs/>
              </w:rPr>
            </w:pPr>
            <w:r w:rsidRPr="00C62602">
              <w:rPr>
                <w:bCs/>
              </w:rPr>
              <w:t>Total</w:t>
            </w:r>
          </w:p>
        </w:tc>
        <w:tc>
          <w:tcPr>
            <w:tcW w:w="1306" w:type="dxa"/>
            <w:noWrap/>
          </w:tcPr>
          <w:p w14:paraId="6DEA2F2F"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rPr>
                <w:bCs/>
              </w:rPr>
            </w:pPr>
            <w:r w:rsidRPr="00C62602">
              <w:rPr>
                <w:bCs/>
              </w:rPr>
              <w:t>0</w:t>
            </w:r>
            <w:r>
              <w:rPr>
                <w:bCs/>
              </w:rPr>
              <w:t>.</w:t>
            </w:r>
            <w:r w:rsidRPr="00C62602">
              <w:rPr>
                <w:bCs/>
              </w:rPr>
              <w:t xml:space="preserve">80 </w:t>
            </w:r>
          </w:p>
        </w:tc>
        <w:tc>
          <w:tcPr>
            <w:tcW w:w="822" w:type="dxa"/>
            <w:noWrap/>
          </w:tcPr>
          <w:p w14:paraId="4C210A7F"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rPr>
                <w:bCs/>
              </w:rPr>
            </w:pPr>
            <w:r w:rsidRPr="00C62602">
              <w:rPr>
                <w:bCs/>
              </w:rPr>
              <w:t>0</w:t>
            </w:r>
            <w:r>
              <w:rPr>
                <w:bCs/>
              </w:rPr>
              <w:t>.</w:t>
            </w:r>
            <w:r w:rsidRPr="00C62602">
              <w:rPr>
                <w:bCs/>
              </w:rPr>
              <w:t xml:space="preserve">54 </w:t>
            </w:r>
          </w:p>
        </w:tc>
        <w:tc>
          <w:tcPr>
            <w:tcW w:w="1276" w:type="dxa"/>
            <w:noWrap/>
          </w:tcPr>
          <w:p w14:paraId="2A9C7DAF"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rPr>
                <w:bCs/>
              </w:rPr>
            </w:pPr>
            <w:r w:rsidRPr="00C62602">
              <w:rPr>
                <w:bCs/>
              </w:rPr>
              <w:t>0</w:t>
            </w:r>
            <w:r>
              <w:rPr>
                <w:bCs/>
              </w:rPr>
              <w:t>.</w:t>
            </w:r>
            <w:r w:rsidRPr="00C62602">
              <w:rPr>
                <w:bCs/>
              </w:rPr>
              <w:t xml:space="preserve">04 </w:t>
            </w:r>
          </w:p>
        </w:tc>
        <w:tc>
          <w:tcPr>
            <w:tcW w:w="1418" w:type="dxa"/>
            <w:noWrap/>
          </w:tcPr>
          <w:p w14:paraId="508E6A5B"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rPr>
                <w:bCs/>
              </w:rPr>
            </w:pPr>
            <w:r w:rsidRPr="00C62602">
              <w:rPr>
                <w:bCs/>
              </w:rPr>
              <w:t>0</w:t>
            </w:r>
            <w:r>
              <w:rPr>
                <w:bCs/>
              </w:rPr>
              <w:t>.</w:t>
            </w:r>
            <w:r w:rsidRPr="00C62602">
              <w:rPr>
                <w:bCs/>
              </w:rPr>
              <w:t xml:space="preserve">80 </w:t>
            </w:r>
          </w:p>
        </w:tc>
        <w:tc>
          <w:tcPr>
            <w:tcW w:w="1559" w:type="dxa"/>
            <w:noWrap/>
          </w:tcPr>
          <w:p w14:paraId="0292FF5A"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rPr>
                <w:bCs/>
              </w:rPr>
            </w:pPr>
            <w:r w:rsidRPr="00C62602">
              <w:rPr>
                <w:bCs/>
              </w:rPr>
              <w:t>0</w:t>
            </w:r>
            <w:r>
              <w:rPr>
                <w:bCs/>
              </w:rPr>
              <w:t>.</w:t>
            </w:r>
            <w:r w:rsidRPr="00C62602">
              <w:rPr>
                <w:bCs/>
              </w:rPr>
              <w:t xml:space="preserve">12 </w:t>
            </w:r>
          </w:p>
        </w:tc>
        <w:tc>
          <w:tcPr>
            <w:tcW w:w="1134" w:type="dxa"/>
            <w:noWrap/>
          </w:tcPr>
          <w:p w14:paraId="5C5ACE73"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rPr>
                <w:bCs/>
              </w:rPr>
            </w:pPr>
            <w:r w:rsidRPr="00C62602">
              <w:rPr>
                <w:bCs/>
              </w:rPr>
              <w:t>0</w:t>
            </w:r>
            <w:r>
              <w:rPr>
                <w:bCs/>
              </w:rPr>
              <w:t>.</w:t>
            </w:r>
            <w:r w:rsidRPr="00C62602">
              <w:rPr>
                <w:bCs/>
              </w:rPr>
              <w:t xml:space="preserve">04 </w:t>
            </w:r>
          </w:p>
        </w:tc>
        <w:tc>
          <w:tcPr>
            <w:tcW w:w="850" w:type="dxa"/>
            <w:noWrap/>
          </w:tcPr>
          <w:p w14:paraId="22AEF8CF"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rPr>
                <w:bCs/>
              </w:rPr>
            </w:pPr>
            <w:r w:rsidRPr="00C62602">
              <w:rPr>
                <w:bCs/>
              </w:rPr>
              <w:t>2</w:t>
            </w:r>
            <w:r>
              <w:rPr>
                <w:bCs/>
              </w:rPr>
              <w:t>.</w:t>
            </w:r>
            <w:r w:rsidRPr="00C62602">
              <w:rPr>
                <w:bCs/>
              </w:rPr>
              <w:t xml:space="preserve">34 </w:t>
            </w:r>
          </w:p>
        </w:tc>
      </w:tr>
    </w:tbl>
    <w:p w14:paraId="69DC76FB" w14:textId="77777777" w:rsidR="00BA1E77" w:rsidRPr="000B5ABE" w:rsidRDefault="00BA1E77" w:rsidP="00BA1E77">
      <w:pPr>
        <w:pStyle w:val="JRCTablesource"/>
      </w:pPr>
      <w:r w:rsidRPr="000B5ABE">
        <w:rPr>
          <w:b/>
          <w:bCs/>
        </w:rPr>
        <w:t>Source:</w:t>
      </w:r>
      <w:r w:rsidRPr="000B5ABE">
        <w:t xml:space="preserve"> Ministry of Education, Science and Innovation</w:t>
      </w:r>
    </w:p>
    <w:p w14:paraId="49CD65CE" w14:textId="77777777" w:rsidR="00BA1E77" w:rsidRPr="00DB00D1" w:rsidRDefault="00BA1E77" w:rsidP="00BA1E77">
      <w:pPr>
        <w:pStyle w:val="JRCTabletitle"/>
      </w:pPr>
      <w:bookmarkStart w:id="61" w:name="_Toc220938959"/>
      <w:bookmarkStart w:id="62" w:name="_Toc221271669"/>
      <w:r w:rsidRPr="00C62602">
        <w:rPr>
          <w:b/>
          <w:bCs/>
        </w:rPr>
        <w:t xml:space="preserve">Table </w:t>
      </w:r>
      <w:r w:rsidRPr="00C62602">
        <w:rPr>
          <w:b/>
          <w:bCs/>
        </w:rPr>
        <w:fldChar w:fldCharType="begin"/>
      </w:r>
      <w:r w:rsidRPr="00C62602">
        <w:rPr>
          <w:b/>
          <w:bCs/>
        </w:rPr>
        <w:instrText xml:space="preserve"> SEQ Table \* ARABIC </w:instrText>
      </w:r>
      <w:r w:rsidRPr="00C62602">
        <w:rPr>
          <w:b/>
          <w:bCs/>
        </w:rPr>
        <w:fldChar w:fldCharType="separate"/>
      </w:r>
      <w:r>
        <w:rPr>
          <w:b/>
          <w:bCs/>
          <w:noProof/>
        </w:rPr>
        <w:t>7</w:t>
      </w:r>
      <w:r w:rsidRPr="00C62602">
        <w:rPr>
          <w:b/>
          <w:bCs/>
        </w:rPr>
        <w:fldChar w:fldCharType="end"/>
      </w:r>
      <w:r>
        <w:rPr>
          <w:b/>
          <w:bCs/>
        </w:rPr>
        <w:t>.</w:t>
      </w:r>
      <w:r w:rsidRPr="00DB00D1">
        <w:t xml:space="preserve"> Financing received by location for each national scientific program (</w:t>
      </w:r>
      <w:r>
        <w:rPr>
          <w:color w:val="000000"/>
        </w:rPr>
        <w:t xml:space="preserve">EUR </w:t>
      </w:r>
      <w:r w:rsidRPr="00DB00D1">
        <w:t>million)</w:t>
      </w:r>
      <w:bookmarkEnd w:id="61"/>
      <w:bookmarkEnd w:id="62"/>
    </w:p>
    <w:tbl>
      <w:tblPr>
        <w:tblStyle w:val="JRCTableBasic"/>
        <w:tblW w:w="9639" w:type="dxa"/>
        <w:tblLook w:val="04A0" w:firstRow="1" w:lastRow="0" w:firstColumn="1" w:lastColumn="0" w:noHBand="0" w:noVBand="1"/>
      </w:tblPr>
      <w:tblGrid>
        <w:gridCol w:w="3969"/>
        <w:gridCol w:w="1276"/>
        <w:gridCol w:w="1276"/>
        <w:gridCol w:w="1559"/>
        <w:gridCol w:w="1559"/>
      </w:tblGrid>
      <w:tr w:rsidR="00BA1E77" w:rsidRPr="00356B67" w14:paraId="7EA8953F" w14:textId="77777777" w:rsidTr="00C70998">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969" w:type="dxa"/>
            <w:noWrap/>
            <w:hideMark/>
          </w:tcPr>
          <w:p w14:paraId="67C77BE1" w14:textId="77777777" w:rsidR="00BA1E77" w:rsidRPr="00356B67" w:rsidRDefault="00BA1E77" w:rsidP="00C70998">
            <w:pPr>
              <w:pStyle w:val="JRCTabletext10pt"/>
            </w:pPr>
          </w:p>
        </w:tc>
        <w:tc>
          <w:tcPr>
            <w:tcW w:w="4111" w:type="dxa"/>
            <w:gridSpan w:val="3"/>
            <w:noWrap/>
            <w:hideMark/>
          </w:tcPr>
          <w:p w14:paraId="6AE86417" w14:textId="77777777" w:rsidR="00BA1E77" w:rsidRPr="00356B67" w:rsidRDefault="00BA1E77" w:rsidP="00C70998">
            <w:pPr>
              <w:pStyle w:val="JRCTabletext10pt"/>
              <w:cnfStyle w:val="100000000000" w:firstRow="1" w:lastRow="0" w:firstColumn="0" w:lastColumn="0" w:oddVBand="0" w:evenVBand="0" w:oddHBand="0" w:evenHBand="0" w:firstRowFirstColumn="0" w:firstRowLastColumn="0" w:lastRowFirstColumn="0" w:lastRowLastColumn="0"/>
            </w:pPr>
            <w:r w:rsidRPr="00356B67">
              <w:t>Location</w:t>
            </w:r>
          </w:p>
        </w:tc>
        <w:tc>
          <w:tcPr>
            <w:tcW w:w="1559" w:type="dxa"/>
            <w:noWrap/>
            <w:hideMark/>
          </w:tcPr>
          <w:p w14:paraId="7054C222" w14:textId="77777777" w:rsidR="00BA1E77" w:rsidRPr="00356B67" w:rsidRDefault="00BA1E77" w:rsidP="00C70998">
            <w:pPr>
              <w:pStyle w:val="JRCTabletext10pt"/>
              <w:cnfStyle w:val="100000000000" w:firstRow="1" w:lastRow="0" w:firstColumn="0" w:lastColumn="0" w:oddVBand="0" w:evenVBand="0" w:oddHBand="0" w:evenHBand="0" w:firstRowFirstColumn="0" w:firstRowLastColumn="0" w:lastRowFirstColumn="0" w:lastRowLastColumn="0"/>
            </w:pPr>
          </w:p>
        </w:tc>
      </w:tr>
      <w:tr w:rsidR="00BA1E77" w:rsidRPr="00356B67" w14:paraId="6B14D7F2" w14:textId="77777777" w:rsidTr="00C70998">
        <w:trPr>
          <w:trHeight w:val="300"/>
        </w:trPr>
        <w:tc>
          <w:tcPr>
            <w:cnfStyle w:val="001000000000" w:firstRow="0" w:lastRow="0" w:firstColumn="1" w:lastColumn="0" w:oddVBand="0" w:evenVBand="0" w:oddHBand="0" w:evenHBand="0" w:firstRowFirstColumn="0" w:firstRowLastColumn="0" w:lastRowFirstColumn="0" w:lastRowLastColumn="0"/>
            <w:tcW w:w="3969" w:type="dxa"/>
            <w:noWrap/>
            <w:hideMark/>
          </w:tcPr>
          <w:p w14:paraId="24729EAE" w14:textId="77777777" w:rsidR="00BA1E77" w:rsidRPr="00356B67" w:rsidRDefault="00BA1E77" w:rsidP="00C70998">
            <w:pPr>
              <w:pStyle w:val="JRCTabletext10pt"/>
            </w:pPr>
            <w:r w:rsidRPr="00356B67">
              <w:t>Type of programme</w:t>
            </w:r>
          </w:p>
        </w:tc>
        <w:tc>
          <w:tcPr>
            <w:tcW w:w="1276" w:type="dxa"/>
            <w:noWrap/>
            <w:hideMark/>
          </w:tcPr>
          <w:p w14:paraId="5C3E3860" w14:textId="77777777" w:rsidR="00BA1E77" w:rsidRPr="00356B67"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proofErr w:type="spellStart"/>
            <w:r w:rsidRPr="00356B67">
              <w:t>Berane</w:t>
            </w:r>
            <w:proofErr w:type="spellEnd"/>
          </w:p>
        </w:tc>
        <w:tc>
          <w:tcPr>
            <w:tcW w:w="1276" w:type="dxa"/>
            <w:noWrap/>
            <w:hideMark/>
          </w:tcPr>
          <w:p w14:paraId="5A05996F" w14:textId="77777777" w:rsidR="00BA1E77" w:rsidRPr="00356B67"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356B67">
              <w:t>Kotor</w:t>
            </w:r>
          </w:p>
        </w:tc>
        <w:tc>
          <w:tcPr>
            <w:tcW w:w="1559" w:type="dxa"/>
            <w:noWrap/>
            <w:hideMark/>
          </w:tcPr>
          <w:p w14:paraId="23DC1A02" w14:textId="77777777" w:rsidR="00BA1E77" w:rsidRPr="00356B67"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356B67">
              <w:t>Podgorica</w:t>
            </w:r>
          </w:p>
        </w:tc>
        <w:tc>
          <w:tcPr>
            <w:tcW w:w="1559" w:type="dxa"/>
            <w:noWrap/>
            <w:hideMark/>
          </w:tcPr>
          <w:p w14:paraId="4DDE7AAB" w14:textId="77777777" w:rsidR="00BA1E77" w:rsidRPr="00356B67"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356B67">
              <w:t>Total</w:t>
            </w:r>
          </w:p>
        </w:tc>
      </w:tr>
      <w:tr w:rsidR="00BA1E77" w:rsidRPr="00356B67" w14:paraId="7F9A9AB7" w14:textId="77777777" w:rsidTr="00C70998">
        <w:trPr>
          <w:trHeight w:val="300"/>
        </w:trPr>
        <w:tc>
          <w:tcPr>
            <w:cnfStyle w:val="001000000000" w:firstRow="0" w:lastRow="0" w:firstColumn="1" w:lastColumn="0" w:oddVBand="0" w:evenVBand="0" w:oddHBand="0" w:evenHBand="0" w:firstRowFirstColumn="0" w:firstRowLastColumn="0" w:lastRowFirstColumn="0" w:lastRowLastColumn="0"/>
            <w:tcW w:w="3969" w:type="dxa"/>
            <w:noWrap/>
            <w:hideMark/>
          </w:tcPr>
          <w:p w14:paraId="19AD5959" w14:textId="77777777" w:rsidR="00BA1E77" w:rsidRPr="00356B67" w:rsidRDefault="00BA1E77" w:rsidP="00C70998">
            <w:pPr>
              <w:pStyle w:val="JRCTabletext10pt"/>
            </w:pPr>
            <w:r w:rsidRPr="00356B67">
              <w:t>COVID-19 Programme</w:t>
            </w:r>
          </w:p>
        </w:tc>
        <w:tc>
          <w:tcPr>
            <w:tcW w:w="1276" w:type="dxa"/>
            <w:noWrap/>
            <w:hideMark/>
          </w:tcPr>
          <w:p w14:paraId="2A497DAE" w14:textId="77777777" w:rsidR="00BA1E77" w:rsidRPr="00356B67"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356B67">
              <w:rPr>
                <w:rFonts w:ascii="Calibri" w:hAnsi="Calibri" w:cs="Calibri"/>
              </w:rPr>
              <w:t> </w:t>
            </w:r>
          </w:p>
        </w:tc>
        <w:tc>
          <w:tcPr>
            <w:tcW w:w="1276" w:type="dxa"/>
            <w:noWrap/>
            <w:hideMark/>
          </w:tcPr>
          <w:p w14:paraId="60674796" w14:textId="77777777" w:rsidR="00BA1E77" w:rsidRPr="00356B67"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356B67">
              <w:rPr>
                <w:rFonts w:ascii="Calibri" w:hAnsi="Calibri" w:cs="Calibri"/>
              </w:rPr>
              <w:t> </w:t>
            </w:r>
          </w:p>
        </w:tc>
        <w:tc>
          <w:tcPr>
            <w:tcW w:w="1559" w:type="dxa"/>
            <w:noWrap/>
            <w:hideMark/>
          </w:tcPr>
          <w:p w14:paraId="75323B5A" w14:textId="77777777" w:rsidR="00BA1E77" w:rsidRPr="00356B67"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356B67">
              <w:t>0</w:t>
            </w:r>
            <w:r>
              <w:t>.</w:t>
            </w:r>
            <w:r w:rsidRPr="00356B67">
              <w:t xml:space="preserve">13 </w:t>
            </w:r>
          </w:p>
        </w:tc>
        <w:tc>
          <w:tcPr>
            <w:tcW w:w="1559" w:type="dxa"/>
            <w:noWrap/>
            <w:hideMark/>
          </w:tcPr>
          <w:p w14:paraId="231BE12F" w14:textId="77777777" w:rsidR="00BA1E77" w:rsidRPr="00356B67"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356B67">
              <w:t>0</w:t>
            </w:r>
            <w:r>
              <w:t>.</w:t>
            </w:r>
            <w:r w:rsidRPr="00356B67">
              <w:t xml:space="preserve">13 </w:t>
            </w:r>
          </w:p>
        </w:tc>
      </w:tr>
      <w:tr w:rsidR="00BA1E77" w:rsidRPr="00356B67" w14:paraId="41869802" w14:textId="77777777" w:rsidTr="00C70998">
        <w:trPr>
          <w:trHeight w:val="300"/>
        </w:trPr>
        <w:tc>
          <w:tcPr>
            <w:cnfStyle w:val="001000000000" w:firstRow="0" w:lastRow="0" w:firstColumn="1" w:lastColumn="0" w:oddVBand="0" w:evenVBand="0" w:oddHBand="0" w:evenHBand="0" w:firstRowFirstColumn="0" w:firstRowLastColumn="0" w:lastRowFirstColumn="0" w:lastRowLastColumn="0"/>
            <w:tcW w:w="3969" w:type="dxa"/>
            <w:noWrap/>
            <w:hideMark/>
          </w:tcPr>
          <w:p w14:paraId="692E6C18" w14:textId="77777777" w:rsidR="00BA1E77" w:rsidRPr="00356B67" w:rsidRDefault="00BA1E77" w:rsidP="00C70998">
            <w:pPr>
              <w:pStyle w:val="JRCTabletext10pt"/>
            </w:pPr>
            <w:r w:rsidRPr="00356B67">
              <w:t>National scientific research projects (2019-2022)</w:t>
            </w:r>
          </w:p>
        </w:tc>
        <w:tc>
          <w:tcPr>
            <w:tcW w:w="1276" w:type="dxa"/>
            <w:noWrap/>
            <w:hideMark/>
          </w:tcPr>
          <w:p w14:paraId="34F5BA3F" w14:textId="77777777" w:rsidR="00BA1E77" w:rsidRPr="00356B67"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356B67">
              <w:rPr>
                <w:rFonts w:ascii="Calibri" w:hAnsi="Calibri" w:cs="Calibri"/>
              </w:rPr>
              <w:t> </w:t>
            </w:r>
          </w:p>
        </w:tc>
        <w:tc>
          <w:tcPr>
            <w:tcW w:w="1276" w:type="dxa"/>
            <w:noWrap/>
            <w:hideMark/>
          </w:tcPr>
          <w:p w14:paraId="51F6E172" w14:textId="77777777" w:rsidR="00BA1E77" w:rsidRPr="00356B67"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356B67">
              <w:t>0</w:t>
            </w:r>
            <w:r>
              <w:t>.</w:t>
            </w:r>
            <w:r w:rsidRPr="00356B67">
              <w:t xml:space="preserve">07 </w:t>
            </w:r>
          </w:p>
        </w:tc>
        <w:tc>
          <w:tcPr>
            <w:tcW w:w="1559" w:type="dxa"/>
            <w:noWrap/>
            <w:hideMark/>
          </w:tcPr>
          <w:p w14:paraId="0733B519" w14:textId="77777777" w:rsidR="00BA1E77" w:rsidRPr="00356B67"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356B67">
              <w:t>0</w:t>
            </w:r>
            <w:r>
              <w:t>.</w:t>
            </w:r>
            <w:r w:rsidRPr="00356B67">
              <w:t xml:space="preserve">63 </w:t>
            </w:r>
          </w:p>
        </w:tc>
        <w:tc>
          <w:tcPr>
            <w:tcW w:w="1559" w:type="dxa"/>
            <w:noWrap/>
            <w:hideMark/>
          </w:tcPr>
          <w:p w14:paraId="65B73C06" w14:textId="77777777" w:rsidR="00BA1E77" w:rsidRPr="00356B67"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356B67">
              <w:t>0</w:t>
            </w:r>
            <w:r>
              <w:t>.70</w:t>
            </w:r>
            <w:r w:rsidRPr="00356B67">
              <w:t xml:space="preserve"> </w:t>
            </w:r>
          </w:p>
        </w:tc>
      </w:tr>
      <w:tr w:rsidR="00BA1E77" w:rsidRPr="00356B67" w14:paraId="0B4EBD52" w14:textId="77777777" w:rsidTr="00C70998">
        <w:trPr>
          <w:trHeight w:val="300"/>
        </w:trPr>
        <w:tc>
          <w:tcPr>
            <w:cnfStyle w:val="001000000000" w:firstRow="0" w:lastRow="0" w:firstColumn="1" w:lastColumn="0" w:oddVBand="0" w:evenVBand="0" w:oddHBand="0" w:evenHBand="0" w:firstRowFirstColumn="0" w:firstRowLastColumn="0" w:lastRowFirstColumn="0" w:lastRowLastColumn="0"/>
            <w:tcW w:w="3969" w:type="dxa"/>
            <w:noWrap/>
            <w:hideMark/>
          </w:tcPr>
          <w:p w14:paraId="638258CB" w14:textId="77777777" w:rsidR="00BA1E77" w:rsidRPr="00356B67" w:rsidRDefault="00BA1E77" w:rsidP="00C70998">
            <w:pPr>
              <w:pStyle w:val="JRCTabletext10pt"/>
            </w:pPr>
            <w:r w:rsidRPr="00356B67">
              <w:t>National scientific research projects 2023</w:t>
            </w:r>
          </w:p>
        </w:tc>
        <w:tc>
          <w:tcPr>
            <w:tcW w:w="1276" w:type="dxa"/>
            <w:noWrap/>
            <w:hideMark/>
          </w:tcPr>
          <w:p w14:paraId="1A955C4F" w14:textId="77777777" w:rsidR="00BA1E77" w:rsidRPr="00356B67"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356B67">
              <w:t>0</w:t>
            </w:r>
            <w:r>
              <w:t>.</w:t>
            </w:r>
            <w:r w:rsidRPr="00356B67">
              <w:t xml:space="preserve">08 </w:t>
            </w:r>
          </w:p>
        </w:tc>
        <w:tc>
          <w:tcPr>
            <w:tcW w:w="1276" w:type="dxa"/>
            <w:noWrap/>
            <w:hideMark/>
          </w:tcPr>
          <w:p w14:paraId="6F030023" w14:textId="77777777" w:rsidR="00BA1E77" w:rsidRPr="00356B67"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356B67">
              <w:t>0</w:t>
            </w:r>
            <w:r>
              <w:t>.</w:t>
            </w:r>
            <w:r w:rsidRPr="00356B67">
              <w:t xml:space="preserve">10 </w:t>
            </w:r>
          </w:p>
        </w:tc>
        <w:tc>
          <w:tcPr>
            <w:tcW w:w="1559" w:type="dxa"/>
            <w:noWrap/>
            <w:hideMark/>
          </w:tcPr>
          <w:p w14:paraId="61293CD1" w14:textId="77777777" w:rsidR="00BA1E77" w:rsidRPr="00356B67"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356B67">
              <w:t>1</w:t>
            </w:r>
            <w:r>
              <w:t>.</w:t>
            </w:r>
            <w:r w:rsidRPr="00356B67">
              <w:t xml:space="preserve">34 </w:t>
            </w:r>
          </w:p>
        </w:tc>
        <w:tc>
          <w:tcPr>
            <w:tcW w:w="1559" w:type="dxa"/>
            <w:noWrap/>
            <w:hideMark/>
          </w:tcPr>
          <w:p w14:paraId="060F12BE" w14:textId="77777777" w:rsidR="00BA1E77" w:rsidRPr="00356B67"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356B67">
              <w:t>1</w:t>
            </w:r>
            <w:r>
              <w:t>.</w:t>
            </w:r>
            <w:r w:rsidRPr="00356B67">
              <w:t>5</w:t>
            </w:r>
            <w:r>
              <w:t>2</w:t>
            </w:r>
            <w:r w:rsidRPr="00356B67">
              <w:t xml:space="preserve"> </w:t>
            </w:r>
          </w:p>
        </w:tc>
      </w:tr>
      <w:tr w:rsidR="00BA1E77" w:rsidRPr="00356B67" w14:paraId="4BAB28E0" w14:textId="77777777" w:rsidTr="00C70998">
        <w:trPr>
          <w:trHeight w:val="300"/>
        </w:trPr>
        <w:tc>
          <w:tcPr>
            <w:cnfStyle w:val="001000000000" w:firstRow="0" w:lastRow="0" w:firstColumn="1" w:lastColumn="0" w:oddVBand="0" w:evenVBand="0" w:oddHBand="0" w:evenHBand="0" w:firstRowFirstColumn="0" w:firstRowLastColumn="0" w:lastRowFirstColumn="0" w:lastRowLastColumn="0"/>
            <w:tcW w:w="3969" w:type="dxa"/>
            <w:noWrap/>
            <w:hideMark/>
          </w:tcPr>
          <w:p w14:paraId="66C1B267" w14:textId="77777777" w:rsidR="00BA1E77" w:rsidRPr="00356B67" w:rsidRDefault="00BA1E77" w:rsidP="00C70998">
            <w:pPr>
              <w:pStyle w:val="JRCTabletext10pt"/>
            </w:pPr>
            <w:r w:rsidRPr="00356B67">
              <w:t>Total</w:t>
            </w:r>
          </w:p>
        </w:tc>
        <w:tc>
          <w:tcPr>
            <w:tcW w:w="1276" w:type="dxa"/>
            <w:noWrap/>
            <w:hideMark/>
          </w:tcPr>
          <w:p w14:paraId="2FE5FB6D" w14:textId="77777777" w:rsidR="00BA1E77" w:rsidRPr="00356B67"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356B67">
              <w:t>0</w:t>
            </w:r>
            <w:r>
              <w:t>.</w:t>
            </w:r>
            <w:r w:rsidRPr="00356B67">
              <w:t xml:space="preserve">08 </w:t>
            </w:r>
          </w:p>
        </w:tc>
        <w:tc>
          <w:tcPr>
            <w:tcW w:w="1276" w:type="dxa"/>
            <w:noWrap/>
            <w:hideMark/>
          </w:tcPr>
          <w:p w14:paraId="24EB4E8E" w14:textId="77777777" w:rsidR="00BA1E77" w:rsidRPr="00356B67"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356B67">
              <w:t>0</w:t>
            </w:r>
            <w:r>
              <w:t>.</w:t>
            </w:r>
            <w:r w:rsidRPr="00356B67">
              <w:t xml:space="preserve">17 </w:t>
            </w:r>
          </w:p>
        </w:tc>
        <w:tc>
          <w:tcPr>
            <w:tcW w:w="1559" w:type="dxa"/>
            <w:noWrap/>
            <w:hideMark/>
          </w:tcPr>
          <w:p w14:paraId="72315BC6" w14:textId="77777777" w:rsidR="00BA1E77" w:rsidRPr="00356B67"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356B67">
              <w:t>2</w:t>
            </w:r>
            <w:r>
              <w:t>.</w:t>
            </w:r>
            <w:r w:rsidRPr="00356B67">
              <w:t xml:space="preserve">09 </w:t>
            </w:r>
          </w:p>
        </w:tc>
        <w:tc>
          <w:tcPr>
            <w:tcW w:w="1559" w:type="dxa"/>
            <w:noWrap/>
            <w:hideMark/>
          </w:tcPr>
          <w:p w14:paraId="6A9AB1FD" w14:textId="77777777" w:rsidR="00BA1E77" w:rsidRPr="00356B67"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356B67">
              <w:t>2</w:t>
            </w:r>
            <w:r>
              <w:t>.</w:t>
            </w:r>
            <w:r w:rsidRPr="00356B67">
              <w:t xml:space="preserve">34 </w:t>
            </w:r>
          </w:p>
        </w:tc>
      </w:tr>
    </w:tbl>
    <w:p w14:paraId="004BFDC8" w14:textId="77777777" w:rsidR="00BA1E77" w:rsidRPr="00F4535A" w:rsidRDefault="00BA1E77" w:rsidP="00BA1E77">
      <w:pPr>
        <w:pStyle w:val="JRCTablesource"/>
      </w:pPr>
      <w:r w:rsidRPr="00F4535A">
        <w:rPr>
          <w:b/>
          <w:bCs/>
        </w:rPr>
        <w:t>Source:</w:t>
      </w:r>
      <w:r w:rsidRPr="00F4535A">
        <w:t xml:space="preserve"> Ministry of Education, Science and Innovation</w:t>
      </w:r>
    </w:p>
    <w:p w14:paraId="7E53A46A" w14:textId="77777777" w:rsidR="00BA1E77" w:rsidRPr="00DB00D1" w:rsidRDefault="00BA1E77" w:rsidP="00BA1E77">
      <w:pPr>
        <w:pStyle w:val="JRCText"/>
      </w:pPr>
      <w:r w:rsidRPr="00DB00D1">
        <w:lastRenderedPageBreak/>
        <w:t>Concerning European Fundings, Montenegro registered 66 organisations involved</w:t>
      </w:r>
      <w:r w:rsidRPr="00DB00D1">
        <w:rPr>
          <w:rStyle w:val="FootnoteReference"/>
        </w:rPr>
        <w:footnoteReference w:id="3"/>
      </w:r>
      <w:r w:rsidRPr="00DB00D1">
        <w:t xml:space="preserve"> (0</w:t>
      </w:r>
      <w:r>
        <w:t>.</w:t>
      </w:r>
      <w:r w:rsidRPr="00DB00D1">
        <w:t>04% of the total number at the European level), with a success rate of 16</w:t>
      </w:r>
      <w:r>
        <w:t>.</w:t>
      </w:r>
      <w:r w:rsidRPr="00DB00D1">
        <w:t xml:space="preserve">36% (almost 7% more than the European Average) receiving </w:t>
      </w:r>
      <w:r>
        <w:t xml:space="preserve">EUR </w:t>
      </w:r>
      <w:r w:rsidRPr="00DB00D1">
        <w:t>4</w:t>
      </w:r>
      <w:r>
        <w:t>.</w:t>
      </w:r>
      <w:r w:rsidRPr="00DB00D1">
        <w:t xml:space="preserve">7 </w:t>
      </w:r>
      <w:r>
        <w:t>million</w:t>
      </w:r>
      <w:r w:rsidRPr="00DB00D1">
        <w:t xml:space="preserve"> (0</w:t>
      </w:r>
      <w:r>
        <w:t>.</w:t>
      </w:r>
      <w:r w:rsidRPr="00DB00D1">
        <w:t>01 of the total amount at the European level). Two SMEs participated in at least 1 Horizon project receiving a contribution of 204</w:t>
      </w:r>
      <w:r>
        <w:t>.</w:t>
      </w:r>
      <w:r w:rsidRPr="00DB00D1">
        <w:t>3</w:t>
      </w:r>
      <w:r>
        <w:t xml:space="preserve"> thousand</w:t>
      </w:r>
      <w:r w:rsidRPr="00DB00D1">
        <w:t xml:space="preserve"> (4</w:t>
      </w:r>
      <w:r>
        <w:t>.</w:t>
      </w:r>
      <w:r w:rsidRPr="00DB00D1">
        <w:t>35% of the total European budget taken by SMEs). The Public University of Montenegro in Podgorica (</w:t>
      </w:r>
      <w:proofErr w:type="spellStart"/>
      <w:r w:rsidRPr="00DB00D1">
        <w:t>Javna</w:t>
      </w:r>
      <w:proofErr w:type="spellEnd"/>
      <w:r w:rsidRPr="00DB00D1">
        <w:t xml:space="preserve"> </w:t>
      </w:r>
      <w:proofErr w:type="spellStart"/>
      <w:r w:rsidRPr="00DB00D1">
        <w:t>Ustanova</w:t>
      </w:r>
      <w:proofErr w:type="spellEnd"/>
      <w:r w:rsidRPr="00DB00D1">
        <w:t xml:space="preserve"> </w:t>
      </w:r>
      <w:proofErr w:type="spellStart"/>
      <w:r w:rsidRPr="00DB00D1">
        <w:t>Univerzitet</w:t>
      </w:r>
      <w:proofErr w:type="spellEnd"/>
      <w:r w:rsidRPr="00DB00D1">
        <w:t xml:space="preserve"> </w:t>
      </w:r>
      <w:proofErr w:type="spellStart"/>
      <w:r w:rsidRPr="00DB00D1">
        <w:t>Crne</w:t>
      </w:r>
      <w:proofErr w:type="spellEnd"/>
      <w:r w:rsidRPr="00DB00D1">
        <w:t xml:space="preserve"> Gore Podgorica) is the organisation with more participations (21), followed by the Directorate of Maritime Safety and Port Management with 5 participations. In terms of received budget, the Public University of Montenegro in Podgorica still leads the rank with 757</w:t>
      </w:r>
      <w:r>
        <w:t>.</w:t>
      </w:r>
      <w:r w:rsidRPr="00DB00D1">
        <w:t>13</w:t>
      </w:r>
      <w:r>
        <w:t xml:space="preserve"> thousand</w:t>
      </w:r>
      <w:r w:rsidRPr="00DB00D1">
        <w:t xml:space="preserve">, followed by another public institution, the </w:t>
      </w:r>
      <w:proofErr w:type="spellStart"/>
      <w:r w:rsidRPr="00DB00D1">
        <w:t>Univerzitet</w:t>
      </w:r>
      <w:proofErr w:type="spellEnd"/>
      <w:r w:rsidRPr="00DB00D1">
        <w:t xml:space="preserve"> Donja Gorica, with 726</w:t>
      </w:r>
      <w:r>
        <w:t>.</w:t>
      </w:r>
      <w:r w:rsidRPr="00DB00D1">
        <w:t>84</w:t>
      </w:r>
      <w:r w:rsidRPr="00134038">
        <w:t xml:space="preserve"> </w:t>
      </w:r>
      <w:r>
        <w:t>thousand</w:t>
      </w:r>
      <w:r w:rsidRPr="00DB00D1">
        <w:t xml:space="preserve"> and </w:t>
      </w:r>
      <w:proofErr w:type="spellStart"/>
      <w:r w:rsidRPr="00DB00D1">
        <w:t>Crnogorski</w:t>
      </w:r>
      <w:proofErr w:type="spellEnd"/>
      <w:r w:rsidRPr="00DB00D1">
        <w:t xml:space="preserve"> </w:t>
      </w:r>
      <w:proofErr w:type="spellStart"/>
      <w:r w:rsidRPr="00DB00D1">
        <w:t>elektroprenosni</w:t>
      </w:r>
      <w:proofErr w:type="spellEnd"/>
      <w:r w:rsidRPr="00DB00D1">
        <w:t xml:space="preserve"> system – an electric power transmission system operator with 592</w:t>
      </w:r>
      <w:r>
        <w:t>.</w:t>
      </w:r>
      <w:r w:rsidRPr="00DB00D1">
        <w:t>14</w:t>
      </w:r>
      <w:r>
        <w:t xml:space="preserve"> thousand</w:t>
      </w:r>
      <w:r w:rsidRPr="00DB00D1">
        <w:t>.</w:t>
      </w:r>
    </w:p>
    <w:p w14:paraId="69D770A4" w14:textId="77777777" w:rsidR="00BA1E77" w:rsidRPr="00DB00D1" w:rsidRDefault="00BA1E77" w:rsidP="00BA1E77">
      <w:pPr>
        <w:pStyle w:val="JRCText"/>
      </w:pPr>
      <w:r w:rsidRPr="00DB00D1">
        <w:t>In terms of international collaborations, it is interesting to observe that the top ties are composed of a</w:t>
      </w:r>
      <w:r>
        <w:t xml:space="preserve"> </w:t>
      </w:r>
      <w:r w:rsidRPr="00DB00D1">
        <w:t>pool of Mediterranean countries (Spain, Italy, Greece and France)</w:t>
      </w:r>
      <w:r w:rsidRPr="00DB00D1">
        <w:rPr>
          <w:rStyle w:val="FootnoteReference"/>
        </w:rPr>
        <w:footnoteReference w:id="4"/>
      </w:r>
      <w:r w:rsidRPr="00DB00D1">
        <w:t>.</w:t>
      </w:r>
    </w:p>
    <w:p w14:paraId="09092EA8" w14:textId="77777777" w:rsidR="00BA1E77" w:rsidRPr="00F4535A" w:rsidRDefault="00BA1E77" w:rsidP="00BA1E77">
      <w:pPr>
        <w:pStyle w:val="JRCLevel-2title"/>
      </w:pPr>
      <w:bookmarkStart w:id="63" w:name="_Toc221016432"/>
      <w:r w:rsidRPr="00F4535A">
        <w:t>Innovative Potential</w:t>
      </w:r>
      <w:bookmarkEnd w:id="63"/>
    </w:p>
    <w:p w14:paraId="404F85CC" w14:textId="77777777" w:rsidR="00BA1E77" w:rsidRPr="00DB00D1" w:rsidRDefault="00BA1E77" w:rsidP="00BA1E77">
      <w:pPr>
        <w:pStyle w:val="JRCText"/>
        <w:spacing w:line="276" w:lineRule="auto"/>
      </w:pPr>
      <w:r w:rsidRPr="00DB00D1">
        <w:t>With respect to the innovative potential of Montenegro, we integrate different data sources to capture multiple aspects of the phenomenon, namely the overall level of innovation and knowledge, capability to produce innovation and digitalisation level, nowadays crucial to monitoring conditions of countries. Finally, we reported innovation projects and grants financed at the National level.</w:t>
      </w:r>
    </w:p>
    <w:p w14:paraId="45CCC7BD" w14:textId="77777777" w:rsidR="00BA1E77" w:rsidRPr="00DB00D1" w:rsidRDefault="00BA1E77" w:rsidP="00BA1E77">
      <w:pPr>
        <w:pStyle w:val="JRCText"/>
        <w:spacing w:line="276" w:lineRule="auto"/>
      </w:pPr>
      <w:r w:rsidRPr="00DB00D1">
        <w:t>To have a general comprehension of the innovation level of Montenegro, we used the Global Innovation Index by WIPO, comparing the performances of Montenegro with the other Western Balkans countries with</w:t>
      </w:r>
      <w:r>
        <w:rPr>
          <w:rFonts w:ascii="Calibri" w:hAnsi="Calibri" w:cs="Calibri"/>
        </w:rPr>
        <w:t> </w:t>
      </w:r>
      <w:r w:rsidRPr="00DB00D1">
        <w:t>available data, namely Albania, Bosnia and Herzegovina, North Macedonia and Serbia. The Global Innovation Index is based on 80 indicators, useful to benchmark income groups or macro-regions. It</w:t>
      </w:r>
      <w:r>
        <w:rPr>
          <w:rFonts w:ascii="Calibri" w:hAnsi="Calibri" w:cs="Calibri"/>
        </w:rPr>
        <w:t> </w:t>
      </w:r>
      <w:r w:rsidRPr="00DB00D1">
        <w:t>includes different pillars related to enabling conditions for innovation (such as political environment, education, infrastructure and knowledge creation of each economy) and it is available for 130 economies.</w:t>
      </w:r>
    </w:p>
    <w:p w14:paraId="5C177553" w14:textId="77777777" w:rsidR="00BA1E77" w:rsidRPr="00DB00D1" w:rsidRDefault="00BA1E77" w:rsidP="00BA1E77">
      <w:pPr>
        <w:pStyle w:val="JRCText"/>
        <w:spacing w:line="276" w:lineRule="auto"/>
      </w:pPr>
      <w:r w:rsidRPr="00DB00D1">
        <w:t>To understand the capacity of Montenegro to produce innovation, we rely on information from WIPO, which has a general profile for each country and EPO to compare the rate of patent production with the</w:t>
      </w:r>
      <w:r>
        <w:rPr>
          <w:rFonts w:ascii="Calibri" w:hAnsi="Calibri" w:cs="Calibri"/>
        </w:rPr>
        <w:t> </w:t>
      </w:r>
      <w:r w:rsidRPr="00DB00D1">
        <w:t>other Western Balkans countries with available data. Furthermore, to conduct part of the analyses on</w:t>
      </w:r>
      <w:r>
        <w:rPr>
          <w:rFonts w:ascii="Calibri" w:hAnsi="Calibri" w:cs="Calibri"/>
        </w:rPr>
        <w:t> </w:t>
      </w:r>
      <w:r w:rsidRPr="00DB00D1">
        <w:t>the production of innovation, we extracted from the ORBIS platform, focusing on private companies headquartered in Montenegro. ORBIS is a private database frequently used by researchers in economics and management for micro-level analyses due to its extensive information availability (in our case related</w:t>
      </w:r>
      <w:r>
        <w:rPr>
          <w:rFonts w:ascii="Calibri" w:hAnsi="Calibri" w:cs="Calibri"/>
        </w:rPr>
        <w:t> </w:t>
      </w:r>
      <w:r w:rsidRPr="00DB00D1">
        <w:t>to patents). We identified 63,076 firms, excluding those without recent financial data and public authorities. However, it should be noted that many companies report minimal information in several areas</w:t>
      </w:r>
      <w:r>
        <w:rPr>
          <w:rFonts w:ascii="Calibri" w:hAnsi="Calibri" w:cs="Calibri"/>
        </w:rPr>
        <w:t> </w:t>
      </w:r>
      <w:r w:rsidRPr="00DB00D1">
        <w:t>of their balance sheets. Moreover, we acknowledge the limitation of this data source, which is more</w:t>
      </w:r>
      <w:r>
        <w:rPr>
          <w:rFonts w:ascii="Calibri" w:hAnsi="Calibri" w:cs="Calibri"/>
        </w:rPr>
        <w:t> </w:t>
      </w:r>
      <w:r w:rsidRPr="00DB00D1">
        <w:t>representative of larger and more productive firms. Therefore, the results obtained from this data should</w:t>
      </w:r>
      <w:r>
        <w:rPr>
          <w:rFonts w:ascii="Calibri" w:hAnsi="Calibri" w:cs="Calibri"/>
        </w:rPr>
        <w:t> </w:t>
      </w:r>
      <w:r w:rsidRPr="00DB00D1">
        <w:t xml:space="preserve">be interpreted with caution. ORBIS dataset has also been used as the main data source to proxy the digitalisation level of firms in Montenegro, exploiting the information on the presence of businesses equipped with websites. Following the scientific literature (Kinne and </w:t>
      </w:r>
      <w:proofErr w:type="spellStart"/>
      <w:r w:rsidRPr="00DB00D1">
        <w:t>Axenbeck</w:t>
      </w:r>
      <w:proofErr w:type="spellEnd"/>
      <w:r w:rsidRPr="00DB00D1">
        <w:t xml:space="preserve">, 2020; Mazzoni et al., 2024), websites can be interpreted as signals of the digital behaviour </w:t>
      </w:r>
      <w:r w:rsidRPr="00DB00D1">
        <w:lastRenderedPageBreak/>
        <w:t>of firms. As a complementary data set, we use the Business opinion part of the Balkan Barometer, an annual survey launched in 2015 and conducted in 6 western Balkan economies, namely Albania, Bosnia and Herzegovina, Kosovo</w:t>
      </w:r>
      <w:r w:rsidRPr="00AC0C6C">
        <w:rPr>
          <w:rStyle w:val="FootnoteReference"/>
          <w:vertAlign w:val="baseline"/>
        </w:rPr>
        <w:footnoteReference w:customMarkFollows="1" w:id="5"/>
        <w:sym w:font="Symbol" w:char="F02A"/>
      </w:r>
      <w:r w:rsidRPr="00DB00D1">
        <w:t>, North Macedonia, Montenegro and Serbia. The survey, commissioned by the Regional Cooperation Council (RCC), is based on a representative sample of 1</w:t>
      </w:r>
      <w:r>
        <w:t>,</w:t>
      </w:r>
      <w:r w:rsidRPr="00DB00D1">
        <w:t xml:space="preserve">200 firms of different segments across the </w:t>
      </w:r>
      <w:r>
        <w:t>W</w:t>
      </w:r>
      <w:r w:rsidRPr="00DB00D1">
        <w:t>estern Balkans.</w:t>
      </w:r>
    </w:p>
    <w:p w14:paraId="0AFCDEED" w14:textId="77777777" w:rsidR="00BA1E77" w:rsidRPr="00DB00D1" w:rsidRDefault="00BA1E77" w:rsidP="00BA1E77">
      <w:pPr>
        <w:pStyle w:val="JRCLevel-3title"/>
      </w:pPr>
      <w:bookmarkStart w:id="64" w:name="_Toc221016433"/>
      <w:r w:rsidRPr="00DB00D1">
        <w:t>Innovation outlook: comparison with Western Balkans countries</w:t>
      </w:r>
      <w:bookmarkEnd w:id="64"/>
    </w:p>
    <w:p w14:paraId="2200E18C" w14:textId="77777777" w:rsidR="00BA1E77" w:rsidRPr="00DB00D1" w:rsidRDefault="00BA1E77" w:rsidP="00BA1E77">
      <w:pPr>
        <w:pStyle w:val="JRCText"/>
        <w:spacing w:line="276" w:lineRule="auto"/>
      </w:pPr>
      <w:r w:rsidRPr="00DB00D1">
        <w:t>Interestingly, by analysing the Global Innovation Index across Western Balkans from 2013 to 2024, we can observe how Montenegro has been the leading country up to 2021, a year in which Serbia has overcome its performance (see Figure 1</w:t>
      </w:r>
      <w:r>
        <w:t>7</w:t>
      </w:r>
      <w:r w:rsidRPr="00DB00D1">
        <w:t>).</w:t>
      </w:r>
    </w:p>
    <w:p w14:paraId="16D97B39" w14:textId="77777777" w:rsidR="00BA1E77" w:rsidRPr="00DB00D1" w:rsidRDefault="00BA1E77" w:rsidP="00BA1E77">
      <w:pPr>
        <w:pStyle w:val="JRCFigurecaption"/>
      </w:pPr>
      <w:bookmarkStart w:id="65" w:name="_Toc220939013"/>
      <w:bookmarkStart w:id="66" w:name="_Toc221271696"/>
      <w:r w:rsidRPr="000E2296">
        <w:rPr>
          <w:b/>
          <w:bCs/>
        </w:rPr>
        <w:t xml:space="preserve">Figure </w:t>
      </w:r>
      <w:r w:rsidRPr="000E2296">
        <w:rPr>
          <w:b/>
          <w:bCs/>
        </w:rPr>
        <w:fldChar w:fldCharType="begin"/>
      </w:r>
      <w:r w:rsidRPr="000E2296">
        <w:rPr>
          <w:b/>
          <w:bCs/>
        </w:rPr>
        <w:instrText xml:space="preserve"> SEQ Figure \* ARABIC </w:instrText>
      </w:r>
      <w:r w:rsidRPr="000E2296">
        <w:rPr>
          <w:b/>
          <w:bCs/>
        </w:rPr>
        <w:fldChar w:fldCharType="separate"/>
      </w:r>
      <w:r>
        <w:rPr>
          <w:b/>
          <w:bCs/>
          <w:noProof/>
        </w:rPr>
        <w:t>17</w:t>
      </w:r>
      <w:r w:rsidRPr="000E2296">
        <w:rPr>
          <w:b/>
          <w:bCs/>
        </w:rPr>
        <w:fldChar w:fldCharType="end"/>
      </w:r>
      <w:r>
        <w:rPr>
          <w:b/>
          <w:bCs/>
        </w:rPr>
        <w:t>.</w:t>
      </w:r>
      <w:r w:rsidRPr="00DB00D1">
        <w:t xml:space="preserve"> Global </w:t>
      </w:r>
      <w:r w:rsidRPr="00F92E31">
        <w:rPr>
          <w:szCs w:val="20"/>
        </w:rPr>
        <w:t>Innovation</w:t>
      </w:r>
      <w:r w:rsidRPr="00DB00D1">
        <w:t xml:space="preserve"> Index Western Balkans</w:t>
      </w:r>
      <w:bookmarkEnd w:id="65"/>
      <w:bookmarkEnd w:id="66"/>
    </w:p>
    <w:p w14:paraId="3058F880" w14:textId="77777777" w:rsidR="00BA1E77" w:rsidRPr="00DB00D1" w:rsidRDefault="00BA1E77" w:rsidP="00BA1E77">
      <w:pPr>
        <w:pStyle w:val="JRCFigureplaceholder"/>
        <w:rPr>
          <w:i/>
          <w:iCs/>
          <w:szCs w:val="20"/>
        </w:rPr>
      </w:pPr>
      <w:r w:rsidRPr="00DB00D1">
        <w:rPr>
          <w:noProof/>
        </w:rPr>
        <w:drawing>
          <wp:inline distT="0" distB="0" distL="0" distR="0" wp14:anchorId="2DA96464" wp14:editId="567D1F74">
            <wp:extent cx="6120000" cy="2520000"/>
            <wp:effectExtent l="0" t="0" r="14605" b="7620"/>
            <wp:docPr id="2009696817" name="Grafico 1">
              <a:extLst xmlns:a="http://schemas.openxmlformats.org/drawingml/2006/main">
                <a:ext uri="{FF2B5EF4-FFF2-40B4-BE49-F238E27FC236}">
                  <a16:creationId xmlns:a16="http://schemas.microsoft.com/office/drawing/2014/main" id="{D0A18934-E06B-49BB-89A4-63D9D3E07D1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60420237" w14:textId="77777777" w:rsidR="00BA1E77" w:rsidRPr="00D24847" w:rsidRDefault="00BA1E77" w:rsidP="00BA1E77">
      <w:pPr>
        <w:pStyle w:val="JRCFiguresource"/>
      </w:pPr>
      <w:r w:rsidRPr="00D24847">
        <w:rPr>
          <w:b/>
          <w:bCs/>
        </w:rPr>
        <w:t>Source:</w:t>
      </w:r>
      <w:r w:rsidRPr="00D24847">
        <w:t xml:space="preserve"> Global Innovation Index, WIPO</w:t>
      </w:r>
    </w:p>
    <w:p w14:paraId="5F5BEF44" w14:textId="77777777" w:rsidR="00BA1E77" w:rsidRPr="00DB00D1" w:rsidRDefault="00BA1E77" w:rsidP="00BA1E77">
      <w:pPr>
        <w:pStyle w:val="JRCText"/>
        <w:spacing w:line="276" w:lineRule="auto"/>
        <w:rPr>
          <w:szCs w:val="32"/>
        </w:rPr>
      </w:pPr>
      <w:r w:rsidRPr="00DB00D1">
        <w:rPr>
          <w:szCs w:val="32"/>
        </w:rPr>
        <w:t>Examining sub-components of the index, such as the Knowledge and Technology outputs, which measure knowledge creation, impact and diffusion</w:t>
      </w:r>
      <w:r w:rsidRPr="00DB00D1">
        <w:rPr>
          <w:rStyle w:val="FootnoteReference"/>
          <w:szCs w:val="32"/>
        </w:rPr>
        <w:footnoteReference w:id="6"/>
      </w:r>
      <w:r w:rsidRPr="00DB00D1">
        <w:rPr>
          <w:szCs w:val="32"/>
        </w:rPr>
        <w:t xml:space="preserve">, we can observe a leading role of Serbia and North Macedonia </w:t>
      </w:r>
      <w:proofErr w:type="gramStart"/>
      <w:r w:rsidRPr="00DB00D1">
        <w:rPr>
          <w:szCs w:val="32"/>
        </w:rPr>
        <w:t>lagging behind</w:t>
      </w:r>
      <w:proofErr w:type="gramEnd"/>
      <w:r w:rsidRPr="00DB00D1">
        <w:rPr>
          <w:szCs w:val="32"/>
        </w:rPr>
        <w:t xml:space="preserve"> Bosnia, Montenegro and Albania (Figure 1</w:t>
      </w:r>
      <w:r>
        <w:rPr>
          <w:szCs w:val="32"/>
        </w:rPr>
        <w:t>8</w:t>
      </w:r>
      <w:r w:rsidRPr="00DB00D1">
        <w:rPr>
          <w:szCs w:val="32"/>
        </w:rPr>
        <w:t>). Considering the percentage of software spending on the total GDP, we interestingly see Montenegro well above all the other Western Balkans, showing particular attention devoted to such a crucial mechanism of the digital economy (see Figure 1</w:t>
      </w:r>
      <w:r>
        <w:rPr>
          <w:szCs w:val="32"/>
        </w:rPr>
        <w:t>9</w:t>
      </w:r>
      <w:r w:rsidRPr="00DB00D1">
        <w:rPr>
          <w:szCs w:val="32"/>
        </w:rPr>
        <w:t xml:space="preserve">). Lastly, figure </w:t>
      </w:r>
      <w:r>
        <w:rPr>
          <w:szCs w:val="32"/>
        </w:rPr>
        <w:t>20</w:t>
      </w:r>
      <w:r w:rsidRPr="00DB00D1">
        <w:rPr>
          <w:szCs w:val="32"/>
        </w:rPr>
        <w:t xml:space="preserve"> shows how R&amp;D levels between Montenegro and Serbia were very similar in 2013 and 2014, creating a progressively bigger gap in the subsequent period.</w:t>
      </w:r>
    </w:p>
    <w:p w14:paraId="64F6E422" w14:textId="77777777" w:rsidR="00BA1E77" w:rsidRPr="00DB00D1" w:rsidRDefault="00BA1E77" w:rsidP="00BA1E77">
      <w:pPr>
        <w:pStyle w:val="JRCFigurecaption"/>
      </w:pPr>
      <w:bookmarkStart w:id="67" w:name="_Toc220939014"/>
      <w:bookmarkStart w:id="68" w:name="_Toc221271697"/>
      <w:r w:rsidRPr="000E2296">
        <w:rPr>
          <w:b/>
          <w:bCs/>
        </w:rPr>
        <w:lastRenderedPageBreak/>
        <w:t xml:space="preserve">Figure </w:t>
      </w:r>
      <w:r w:rsidRPr="000E2296">
        <w:rPr>
          <w:b/>
          <w:bCs/>
        </w:rPr>
        <w:fldChar w:fldCharType="begin"/>
      </w:r>
      <w:r w:rsidRPr="000E2296">
        <w:rPr>
          <w:b/>
          <w:bCs/>
        </w:rPr>
        <w:instrText xml:space="preserve"> SEQ Figure \* ARABIC </w:instrText>
      </w:r>
      <w:r w:rsidRPr="000E2296">
        <w:rPr>
          <w:b/>
          <w:bCs/>
        </w:rPr>
        <w:fldChar w:fldCharType="separate"/>
      </w:r>
      <w:r>
        <w:rPr>
          <w:b/>
          <w:bCs/>
          <w:noProof/>
        </w:rPr>
        <w:t>18</w:t>
      </w:r>
      <w:r w:rsidRPr="000E2296">
        <w:rPr>
          <w:b/>
          <w:bCs/>
        </w:rPr>
        <w:fldChar w:fldCharType="end"/>
      </w:r>
      <w:r>
        <w:rPr>
          <w:b/>
          <w:bCs/>
        </w:rPr>
        <w:t xml:space="preserve">. </w:t>
      </w:r>
      <w:r w:rsidRPr="00DB00D1">
        <w:t xml:space="preserve">Knowledge and Technology Output </w:t>
      </w:r>
      <w:r w:rsidRPr="00F92E31">
        <w:rPr>
          <w:szCs w:val="20"/>
        </w:rPr>
        <w:t>Index</w:t>
      </w:r>
      <w:r w:rsidRPr="00DB00D1">
        <w:t xml:space="preserve"> Western Balkans</w:t>
      </w:r>
      <w:bookmarkEnd w:id="67"/>
      <w:bookmarkEnd w:id="68"/>
    </w:p>
    <w:p w14:paraId="6E9AE3C9" w14:textId="77777777" w:rsidR="00BA1E77" w:rsidRPr="00DB00D1" w:rsidRDefault="00BA1E77" w:rsidP="00BA1E77">
      <w:pPr>
        <w:pStyle w:val="JRCFigureplaceholder"/>
        <w:rPr>
          <w:i/>
          <w:iCs/>
        </w:rPr>
      </w:pPr>
      <w:r w:rsidRPr="00206F48">
        <w:rPr>
          <w:noProof/>
        </w:rPr>
        <w:drawing>
          <wp:inline distT="0" distB="0" distL="0" distR="0" wp14:anchorId="192C77CA" wp14:editId="59FC4145">
            <wp:extent cx="6120000" cy="2304000"/>
            <wp:effectExtent l="0" t="0" r="14605" b="7620"/>
            <wp:docPr id="769769453" name="Grafico 1">
              <a:extLst xmlns:a="http://schemas.openxmlformats.org/drawingml/2006/main">
                <a:ext uri="{FF2B5EF4-FFF2-40B4-BE49-F238E27FC236}">
                  <a16:creationId xmlns:a16="http://schemas.microsoft.com/office/drawing/2014/main" id="{21665F99-2FDB-4F0D-9B4E-2E2C3A7A984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14:paraId="47218464" w14:textId="77777777" w:rsidR="00BA1E77" w:rsidRPr="00DB00D1" w:rsidRDefault="00BA1E77" w:rsidP="00BA1E77">
      <w:pPr>
        <w:pStyle w:val="JRCFiguresource"/>
      </w:pPr>
      <w:r w:rsidRPr="00206F48">
        <w:rPr>
          <w:b/>
          <w:bCs/>
          <w:iCs/>
        </w:rPr>
        <w:t>Source:</w:t>
      </w:r>
      <w:r w:rsidRPr="00DB00D1">
        <w:t xml:space="preserve"> Global Innovation Index, WIPO</w:t>
      </w:r>
    </w:p>
    <w:p w14:paraId="6BE0B93B" w14:textId="77777777" w:rsidR="00BA1E77" w:rsidRPr="00DB00D1" w:rsidRDefault="00BA1E77" w:rsidP="00BA1E77">
      <w:pPr>
        <w:pStyle w:val="JRCFigurecaption"/>
      </w:pPr>
      <w:bookmarkStart w:id="69" w:name="_Toc220939015"/>
      <w:bookmarkStart w:id="70" w:name="_Toc221271698"/>
      <w:r w:rsidRPr="000E2296">
        <w:rPr>
          <w:b/>
          <w:bCs/>
        </w:rPr>
        <w:t xml:space="preserve">Figure </w:t>
      </w:r>
      <w:r w:rsidRPr="000E2296">
        <w:rPr>
          <w:b/>
          <w:bCs/>
        </w:rPr>
        <w:fldChar w:fldCharType="begin"/>
      </w:r>
      <w:r w:rsidRPr="000E2296">
        <w:rPr>
          <w:b/>
          <w:bCs/>
        </w:rPr>
        <w:instrText xml:space="preserve"> SEQ Figure \* ARABIC </w:instrText>
      </w:r>
      <w:r w:rsidRPr="000E2296">
        <w:rPr>
          <w:b/>
          <w:bCs/>
        </w:rPr>
        <w:fldChar w:fldCharType="separate"/>
      </w:r>
      <w:r>
        <w:rPr>
          <w:b/>
          <w:bCs/>
          <w:noProof/>
        </w:rPr>
        <w:t>19</w:t>
      </w:r>
      <w:r w:rsidRPr="000E2296">
        <w:rPr>
          <w:b/>
          <w:bCs/>
        </w:rPr>
        <w:fldChar w:fldCharType="end"/>
      </w:r>
      <w:r>
        <w:rPr>
          <w:b/>
          <w:bCs/>
        </w:rPr>
        <w:t>.</w:t>
      </w:r>
      <w:r w:rsidRPr="00DB00D1">
        <w:t xml:space="preserve"> Software spending % of </w:t>
      </w:r>
      <w:r w:rsidRPr="00F92E31">
        <w:rPr>
          <w:szCs w:val="20"/>
        </w:rPr>
        <w:t>GDP</w:t>
      </w:r>
      <w:r w:rsidRPr="00DB00D1">
        <w:t xml:space="preserve"> Western Balkans</w:t>
      </w:r>
      <w:bookmarkEnd w:id="69"/>
      <w:bookmarkEnd w:id="70"/>
    </w:p>
    <w:p w14:paraId="272F0286" w14:textId="77777777" w:rsidR="00BA1E77" w:rsidRPr="00DB00D1" w:rsidRDefault="00BA1E77" w:rsidP="00BA1E77">
      <w:pPr>
        <w:pStyle w:val="JRCFigureplaceholder"/>
      </w:pPr>
      <w:r w:rsidRPr="00DB00D1">
        <w:rPr>
          <w:noProof/>
        </w:rPr>
        <w:drawing>
          <wp:inline distT="0" distB="0" distL="0" distR="0" wp14:anchorId="3D60D972" wp14:editId="4782BB09">
            <wp:extent cx="6120000" cy="2304000"/>
            <wp:effectExtent l="0" t="0" r="14605" b="7620"/>
            <wp:docPr id="1712468258" name="Grafico 1">
              <a:extLst xmlns:a="http://schemas.openxmlformats.org/drawingml/2006/main">
                <a:ext uri="{FF2B5EF4-FFF2-40B4-BE49-F238E27FC236}">
                  <a16:creationId xmlns:a16="http://schemas.microsoft.com/office/drawing/2014/main" id="{A40E8C66-84A8-4B49-BF11-476A029C34C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14:paraId="51808C58" w14:textId="77777777" w:rsidR="00BA1E77" w:rsidRPr="00DB00D1" w:rsidRDefault="00BA1E77" w:rsidP="00BA1E77">
      <w:pPr>
        <w:pStyle w:val="JRCFiguresource"/>
      </w:pPr>
      <w:r w:rsidRPr="00206F48">
        <w:rPr>
          <w:b/>
          <w:bCs/>
          <w:iCs/>
        </w:rPr>
        <w:t>Source:</w:t>
      </w:r>
      <w:r w:rsidRPr="00DB00D1">
        <w:t xml:space="preserve"> Global Innovation Index, WIPO.</w:t>
      </w:r>
    </w:p>
    <w:p w14:paraId="4B94F89D" w14:textId="77777777" w:rsidR="00BA1E77" w:rsidRPr="00DB00D1" w:rsidRDefault="00BA1E77" w:rsidP="00BA1E77">
      <w:pPr>
        <w:pStyle w:val="JRCFigurecaption"/>
      </w:pPr>
      <w:bookmarkStart w:id="71" w:name="_Toc220939016"/>
      <w:bookmarkStart w:id="72" w:name="_Toc221271699"/>
      <w:r w:rsidRPr="000E2296">
        <w:rPr>
          <w:b/>
          <w:bCs/>
        </w:rPr>
        <w:t xml:space="preserve">Figure </w:t>
      </w:r>
      <w:r w:rsidRPr="000E2296">
        <w:rPr>
          <w:b/>
          <w:bCs/>
        </w:rPr>
        <w:fldChar w:fldCharType="begin"/>
      </w:r>
      <w:r w:rsidRPr="000E2296">
        <w:rPr>
          <w:b/>
          <w:bCs/>
        </w:rPr>
        <w:instrText xml:space="preserve"> SEQ Figure \* ARABIC </w:instrText>
      </w:r>
      <w:r w:rsidRPr="000E2296">
        <w:rPr>
          <w:b/>
          <w:bCs/>
        </w:rPr>
        <w:fldChar w:fldCharType="separate"/>
      </w:r>
      <w:r>
        <w:rPr>
          <w:b/>
          <w:bCs/>
          <w:noProof/>
        </w:rPr>
        <w:t>20</w:t>
      </w:r>
      <w:r w:rsidRPr="000E2296">
        <w:rPr>
          <w:b/>
          <w:bCs/>
        </w:rPr>
        <w:fldChar w:fldCharType="end"/>
      </w:r>
      <w:r>
        <w:rPr>
          <w:b/>
          <w:bCs/>
        </w:rPr>
        <w:t>.</w:t>
      </w:r>
      <w:r w:rsidRPr="00DB00D1">
        <w:t xml:space="preserve"> Research and Development Score Western Balkans</w:t>
      </w:r>
      <w:bookmarkEnd w:id="71"/>
      <w:bookmarkEnd w:id="72"/>
    </w:p>
    <w:p w14:paraId="2D128769" w14:textId="77777777" w:rsidR="00BA1E77" w:rsidRPr="00DB00D1" w:rsidRDefault="00BA1E77" w:rsidP="00BA1E77">
      <w:pPr>
        <w:pStyle w:val="JRCFigureplaceholder"/>
      </w:pPr>
      <w:r w:rsidRPr="00DB00D1">
        <w:rPr>
          <w:noProof/>
        </w:rPr>
        <w:drawing>
          <wp:inline distT="0" distB="0" distL="0" distR="0" wp14:anchorId="7D4E3330" wp14:editId="3C0EC05C">
            <wp:extent cx="6120000" cy="2304000"/>
            <wp:effectExtent l="0" t="0" r="14605" b="7620"/>
            <wp:docPr id="428787416" name="Grafico 1">
              <a:extLst xmlns:a="http://schemas.openxmlformats.org/drawingml/2006/main">
                <a:ext uri="{FF2B5EF4-FFF2-40B4-BE49-F238E27FC236}">
                  <a16:creationId xmlns:a16="http://schemas.microsoft.com/office/drawing/2014/main" id="{E89DE795-A823-4F70-AEFC-61832191CBB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14:paraId="3AE1A1F5" w14:textId="77777777" w:rsidR="00BA1E77" w:rsidRPr="00DB00D1" w:rsidRDefault="00BA1E77" w:rsidP="00BA1E77">
      <w:pPr>
        <w:pStyle w:val="JRCFiguresource"/>
      </w:pPr>
      <w:r w:rsidRPr="00206F48">
        <w:rPr>
          <w:b/>
          <w:bCs/>
          <w:iCs/>
        </w:rPr>
        <w:t>Source:</w:t>
      </w:r>
      <w:r w:rsidRPr="00DB00D1">
        <w:t xml:space="preserve"> Global Innovation Index, WIPO</w:t>
      </w:r>
    </w:p>
    <w:p w14:paraId="7D0F1389" w14:textId="77777777" w:rsidR="00BA1E77" w:rsidRPr="00DB00D1" w:rsidRDefault="00BA1E77" w:rsidP="00BA1E77">
      <w:pPr>
        <w:pStyle w:val="JRCLevel-3title"/>
      </w:pPr>
      <w:bookmarkStart w:id="73" w:name="_Toc221016434"/>
      <w:r w:rsidRPr="00DB00D1">
        <w:lastRenderedPageBreak/>
        <w:t>Production of Innovation – Intellectual Property</w:t>
      </w:r>
      <w:bookmarkEnd w:id="73"/>
    </w:p>
    <w:p w14:paraId="466D5F50" w14:textId="77777777" w:rsidR="00BA1E77" w:rsidRPr="00F92E31" w:rsidRDefault="00BA1E77" w:rsidP="00BA1E77">
      <w:pPr>
        <w:pStyle w:val="JRCText"/>
      </w:pPr>
      <w:r w:rsidRPr="00F92E31">
        <w:t>According to the WIPO profile for Montenegro in 2023, the country ranks 119th globally, having filed 18 patent applications</w:t>
      </w:r>
      <w:r>
        <w:t xml:space="preserve"> - </w:t>
      </w:r>
      <w:r w:rsidRPr="00F92E31">
        <w:t xml:space="preserve">a gain of 3 patents compared to 2022, thus returning to pre-COVID-19 levels. The overall trend in patent applications has remained steady from 2014 to 2023, </w:t>
      </w:r>
      <w:proofErr w:type="gramStart"/>
      <w:r w:rsidRPr="00F92E31">
        <w:t>with the exception of</w:t>
      </w:r>
      <w:proofErr w:type="gramEnd"/>
      <w:r w:rsidRPr="00F92E31">
        <w:t xml:space="preserve"> 2015, which saw the highest number of applications at 30. The leading technical fields for these patents include Handling (25%), Computer Technology (12.5%), Control (12.5%), Biotechnology (12.5%), and Pharmaceuticals (12.5%). Notably, 24% of non-resident applications originate from the USA.</w:t>
      </w:r>
    </w:p>
    <w:p w14:paraId="6CEE534E" w14:textId="77777777" w:rsidR="00BA1E77" w:rsidRPr="00F92E31" w:rsidRDefault="00BA1E77" w:rsidP="00BA1E77">
      <w:pPr>
        <w:pStyle w:val="JRCText"/>
      </w:pPr>
      <w:r w:rsidRPr="00F92E31">
        <w:t>In terms of industrial design, the trend is even more pronounced, with a steady average production of 1 application per year from 2018 to 2022 and an increase to 11 applications in 2023, of which 60% pertain to furnishings. In contrast, trademark activity is experiencing a decline, positioning Montenegro at 166th in the global ranking, with a significant decrease of 39% compared to 2022.</w:t>
      </w:r>
    </w:p>
    <w:p w14:paraId="0DFECFF9" w14:textId="77777777" w:rsidR="00BA1E77" w:rsidRPr="00F92E31" w:rsidRDefault="00BA1E77" w:rsidP="00BA1E77">
      <w:pPr>
        <w:pStyle w:val="JRCText"/>
      </w:pPr>
      <w:r w:rsidRPr="00F92E31">
        <w:t xml:space="preserve">However, when examining statistics from the European Patent Office (EPO), it is evident that Montenegro has demonstrated very low performance over the last three years (2012-2023) compared to other countries in the Western Balkans, which have established a substantial gap in patent activity—especially considering that in 2016, all were </w:t>
      </w:r>
      <w:proofErr w:type="gramStart"/>
      <w:r w:rsidRPr="00F92E31">
        <w:t>more or less on</w:t>
      </w:r>
      <w:proofErr w:type="gramEnd"/>
      <w:r w:rsidRPr="00F92E31">
        <w:t xml:space="preserve"> similar ground.</w:t>
      </w:r>
    </w:p>
    <w:p w14:paraId="037D4805" w14:textId="77777777" w:rsidR="00BA1E77" w:rsidRPr="00DB00D1" w:rsidRDefault="00BA1E77" w:rsidP="00BA1E77">
      <w:pPr>
        <w:pStyle w:val="JRCFigurecaption"/>
      </w:pPr>
      <w:bookmarkStart w:id="74" w:name="_Toc220939017"/>
      <w:bookmarkStart w:id="75" w:name="_Toc221271700"/>
      <w:r w:rsidRPr="000E2296">
        <w:rPr>
          <w:b/>
          <w:bCs/>
        </w:rPr>
        <w:t xml:space="preserve">Figure </w:t>
      </w:r>
      <w:r w:rsidRPr="000E2296">
        <w:rPr>
          <w:b/>
          <w:bCs/>
        </w:rPr>
        <w:fldChar w:fldCharType="begin"/>
      </w:r>
      <w:r w:rsidRPr="000E2296">
        <w:rPr>
          <w:b/>
          <w:bCs/>
        </w:rPr>
        <w:instrText xml:space="preserve"> SEQ Figure \* ARABIC </w:instrText>
      </w:r>
      <w:r w:rsidRPr="000E2296">
        <w:rPr>
          <w:b/>
          <w:bCs/>
        </w:rPr>
        <w:fldChar w:fldCharType="separate"/>
      </w:r>
      <w:r>
        <w:rPr>
          <w:b/>
          <w:bCs/>
          <w:noProof/>
        </w:rPr>
        <w:t>21</w:t>
      </w:r>
      <w:r w:rsidRPr="000E2296">
        <w:rPr>
          <w:b/>
          <w:bCs/>
        </w:rPr>
        <w:fldChar w:fldCharType="end"/>
      </w:r>
      <w:r>
        <w:rPr>
          <w:b/>
          <w:bCs/>
        </w:rPr>
        <w:t>.</w:t>
      </w:r>
      <w:r w:rsidRPr="00DB00D1">
        <w:t xml:space="preserve"> European Patent </w:t>
      </w:r>
      <w:r w:rsidRPr="00F92E31">
        <w:rPr>
          <w:szCs w:val="20"/>
        </w:rPr>
        <w:t>applications</w:t>
      </w:r>
      <w:r w:rsidRPr="00DB00D1">
        <w:t xml:space="preserve"> of Western Balkans from 2016 to 2023</w:t>
      </w:r>
      <w:bookmarkEnd w:id="74"/>
      <w:bookmarkEnd w:id="75"/>
    </w:p>
    <w:p w14:paraId="7840A302" w14:textId="77777777" w:rsidR="00BA1E77" w:rsidRDefault="00BA1E77" w:rsidP="00BA1E77">
      <w:pPr>
        <w:pStyle w:val="JRCFigureplaceholder"/>
      </w:pPr>
      <w:r w:rsidRPr="0013501E">
        <w:rPr>
          <w:noProof/>
        </w:rPr>
        <w:drawing>
          <wp:inline distT="0" distB="0" distL="0" distR="0" wp14:anchorId="1CF65015" wp14:editId="00A2F11E">
            <wp:extent cx="4772025" cy="2360758"/>
            <wp:effectExtent l="12700" t="12700" r="15875" b="14605"/>
            <wp:docPr id="1517304496" name="Immagine 18" descr="A graph with numbers an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0559552" name="Immagine 18" descr="A graph with numbers and lines&#10;&#10;AI-generated content may be incorrect."/>
                    <pic:cNvPicPr>
                      <a:picLocks noChangeAspect="1" noChangeArrowheads="1"/>
                    </pic:cNvPicPr>
                  </pic:nvPicPr>
                  <pic:blipFill rotWithShape="1">
                    <a:blip r:embed="rId29" cstate="print">
                      <a:extLst>
                        <a:ext uri="{28A0092B-C50C-407E-A947-70E740481C1C}">
                          <a14:useLocalDpi xmlns:a14="http://schemas.microsoft.com/office/drawing/2010/main" val="0"/>
                        </a:ext>
                      </a:extLst>
                    </a:blip>
                    <a:srcRect/>
                    <a:stretch/>
                  </pic:blipFill>
                  <pic:spPr bwMode="auto">
                    <a:xfrm>
                      <a:off x="0" y="0"/>
                      <a:ext cx="4772025" cy="2360758"/>
                    </a:xfrm>
                    <a:prstGeom prst="rect">
                      <a:avLst/>
                    </a:prstGeom>
                    <a:noFill/>
                    <a:ln>
                      <a:solidFill>
                        <a:schemeClr val="bg2">
                          <a:lumMod val="90000"/>
                        </a:schemeClr>
                      </a:solidFill>
                    </a:ln>
                    <a:extLst>
                      <a:ext uri="{53640926-AAD7-44D8-BBD7-CCE9431645EC}">
                        <a14:shadowObscured xmlns:a14="http://schemas.microsoft.com/office/drawing/2010/main"/>
                      </a:ext>
                    </a:extLst>
                  </pic:spPr>
                </pic:pic>
              </a:graphicData>
            </a:graphic>
          </wp:inline>
        </w:drawing>
      </w:r>
    </w:p>
    <w:p w14:paraId="62BA7098" w14:textId="77777777" w:rsidR="00BA1E77" w:rsidRPr="00DB00D1" w:rsidRDefault="00BA1E77" w:rsidP="00BA1E77">
      <w:pPr>
        <w:pStyle w:val="JRCFiguresource"/>
      </w:pPr>
      <w:r w:rsidRPr="0013501E">
        <w:rPr>
          <w:b/>
          <w:bCs/>
          <w:iCs/>
        </w:rPr>
        <w:t>Source:</w:t>
      </w:r>
      <w:r w:rsidRPr="00DB00D1">
        <w:t xml:space="preserve"> EPO</w:t>
      </w:r>
    </w:p>
    <w:p w14:paraId="257E7493" w14:textId="77777777" w:rsidR="00BA1E77" w:rsidRDefault="00BA1E77" w:rsidP="00BA1E77">
      <w:pPr>
        <w:pStyle w:val="JRCText"/>
      </w:pPr>
      <w:r w:rsidRPr="00F92E31">
        <w:t>To assess Montenegro</w:t>
      </w:r>
      <w:r>
        <w:t>’</w:t>
      </w:r>
      <w:r w:rsidRPr="00F92E31">
        <w:t xml:space="preserve">s capacity for innovation, we examined the patent portfolios of firms, although we were unable to separate patent production by year. We identified a total of 30 patent-holding firms with a combined total of 173 patents (see Table 8). Approximately half of these firms hold only a single patent, while 11 firms possess between 3 and 10 patents. Notably, only 4 firms have more than 10 patents in their portfolios. Among the 30 firms, 21 have been in operation for over 15 years (see Table 9), and 17 are concentrated in Podgorica (see Table </w:t>
      </w:r>
      <w:r>
        <w:t>10</w:t>
      </w:r>
      <w:r w:rsidRPr="00F92E31">
        <w:t>).</w:t>
      </w:r>
      <w:r>
        <w:br w:type="page"/>
      </w:r>
    </w:p>
    <w:p w14:paraId="7F4B00D1" w14:textId="77777777" w:rsidR="00BA1E77" w:rsidRPr="00B1536D" w:rsidRDefault="00BA1E77" w:rsidP="00BA1E77">
      <w:pPr>
        <w:pStyle w:val="JRCTabletitle"/>
      </w:pPr>
      <w:bookmarkStart w:id="76" w:name="_Toc220938960"/>
      <w:bookmarkStart w:id="77" w:name="_Toc221271670"/>
      <w:r w:rsidRPr="00C62602">
        <w:rPr>
          <w:b/>
          <w:bCs/>
        </w:rPr>
        <w:lastRenderedPageBreak/>
        <w:t xml:space="preserve">Table </w:t>
      </w:r>
      <w:r w:rsidRPr="00C62602">
        <w:rPr>
          <w:b/>
          <w:bCs/>
        </w:rPr>
        <w:fldChar w:fldCharType="begin"/>
      </w:r>
      <w:r w:rsidRPr="00C62602">
        <w:rPr>
          <w:b/>
          <w:bCs/>
        </w:rPr>
        <w:instrText xml:space="preserve"> SEQ Table \* ARABIC </w:instrText>
      </w:r>
      <w:r w:rsidRPr="00C62602">
        <w:rPr>
          <w:b/>
          <w:bCs/>
        </w:rPr>
        <w:fldChar w:fldCharType="separate"/>
      </w:r>
      <w:r>
        <w:rPr>
          <w:b/>
          <w:bCs/>
          <w:noProof/>
        </w:rPr>
        <w:t>8</w:t>
      </w:r>
      <w:r w:rsidRPr="00C62602">
        <w:rPr>
          <w:b/>
          <w:bCs/>
        </w:rPr>
        <w:fldChar w:fldCharType="end"/>
      </w:r>
      <w:r>
        <w:rPr>
          <w:b/>
          <w:bCs/>
        </w:rPr>
        <w:t>.</w:t>
      </w:r>
      <w:r w:rsidRPr="00DB00D1">
        <w:t xml:space="preserve"> </w:t>
      </w:r>
      <w:r w:rsidRPr="00B1536D">
        <w:t>Patents portfolio of firms from Montenegro</w:t>
      </w:r>
      <w:bookmarkEnd w:id="76"/>
      <w:bookmarkEnd w:id="77"/>
    </w:p>
    <w:tbl>
      <w:tblPr>
        <w:tblStyle w:val="JRCTableBasic"/>
        <w:tblW w:w="5000" w:type="pct"/>
        <w:tblLook w:val="04A0" w:firstRow="1" w:lastRow="0" w:firstColumn="1" w:lastColumn="0" w:noHBand="0" w:noVBand="1"/>
      </w:tblPr>
      <w:tblGrid>
        <w:gridCol w:w="3207"/>
        <w:gridCol w:w="3379"/>
        <w:gridCol w:w="3042"/>
      </w:tblGrid>
      <w:tr w:rsidR="00BA1E77" w:rsidRPr="00C62602" w14:paraId="39A72F4E" w14:textId="77777777" w:rsidTr="00C70998">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665" w:type="pct"/>
            <w:noWrap/>
            <w:vAlign w:val="center"/>
            <w:hideMark/>
          </w:tcPr>
          <w:p w14:paraId="7B6B54D2" w14:textId="77777777" w:rsidR="00BA1E77" w:rsidRPr="00D54855" w:rsidRDefault="00BA1E77" w:rsidP="00C70998">
            <w:pPr>
              <w:pStyle w:val="JRCTableBoxtitle"/>
              <w:spacing w:before="40" w:after="40"/>
              <w:jc w:val="left"/>
              <w:rPr>
                <w:b/>
                <w:bCs/>
              </w:rPr>
            </w:pPr>
            <w:r w:rsidRPr="00D54855">
              <w:rPr>
                <w:b/>
                <w:bCs/>
              </w:rPr>
              <w:t>Number of Patents</w:t>
            </w:r>
          </w:p>
        </w:tc>
        <w:tc>
          <w:tcPr>
            <w:tcW w:w="1755" w:type="pct"/>
            <w:noWrap/>
            <w:vAlign w:val="center"/>
            <w:hideMark/>
          </w:tcPr>
          <w:p w14:paraId="5FA20914" w14:textId="77777777" w:rsidR="00BA1E77" w:rsidRPr="00D54855" w:rsidRDefault="00BA1E77" w:rsidP="00C70998">
            <w:pPr>
              <w:pStyle w:val="JRCTableBoxtitle"/>
              <w:spacing w:before="40" w:after="40"/>
              <w:jc w:val="left"/>
              <w:cnfStyle w:val="100000000000" w:firstRow="1" w:lastRow="0" w:firstColumn="0" w:lastColumn="0" w:oddVBand="0" w:evenVBand="0" w:oddHBand="0" w:evenHBand="0" w:firstRowFirstColumn="0" w:firstRowLastColumn="0" w:lastRowFirstColumn="0" w:lastRowLastColumn="0"/>
              <w:rPr>
                <w:b/>
                <w:bCs/>
              </w:rPr>
            </w:pPr>
            <w:r w:rsidRPr="00D54855">
              <w:rPr>
                <w:b/>
                <w:bCs/>
              </w:rPr>
              <w:t>Number of patenting firms</w:t>
            </w:r>
          </w:p>
        </w:tc>
        <w:tc>
          <w:tcPr>
            <w:tcW w:w="1580" w:type="pct"/>
            <w:noWrap/>
            <w:vAlign w:val="center"/>
            <w:hideMark/>
          </w:tcPr>
          <w:p w14:paraId="664329CB" w14:textId="77777777" w:rsidR="00BA1E77" w:rsidRPr="00D54855" w:rsidRDefault="00BA1E77" w:rsidP="00C70998">
            <w:pPr>
              <w:pStyle w:val="JRCTableBoxtitle"/>
              <w:spacing w:before="40" w:after="40"/>
              <w:jc w:val="left"/>
              <w:cnfStyle w:val="100000000000" w:firstRow="1" w:lastRow="0" w:firstColumn="0" w:lastColumn="0" w:oddVBand="0" w:evenVBand="0" w:oddHBand="0" w:evenHBand="0" w:firstRowFirstColumn="0" w:firstRowLastColumn="0" w:lastRowFirstColumn="0" w:lastRowLastColumn="0"/>
              <w:rPr>
                <w:b/>
                <w:bCs/>
              </w:rPr>
            </w:pPr>
            <w:r w:rsidRPr="00D54855">
              <w:rPr>
                <w:b/>
                <w:bCs/>
              </w:rPr>
              <w:t>Total number of patents</w:t>
            </w:r>
          </w:p>
        </w:tc>
      </w:tr>
      <w:tr w:rsidR="00BA1E77" w:rsidRPr="00C62602" w14:paraId="43456D68" w14:textId="77777777" w:rsidTr="00C70998">
        <w:trPr>
          <w:trHeight w:val="300"/>
        </w:trPr>
        <w:tc>
          <w:tcPr>
            <w:cnfStyle w:val="001000000000" w:firstRow="0" w:lastRow="0" w:firstColumn="1" w:lastColumn="0" w:oddVBand="0" w:evenVBand="0" w:oddHBand="0" w:evenHBand="0" w:firstRowFirstColumn="0" w:firstRowLastColumn="0" w:lastRowFirstColumn="0" w:lastRowLastColumn="0"/>
            <w:tcW w:w="1665" w:type="pct"/>
            <w:noWrap/>
            <w:vAlign w:val="center"/>
            <w:hideMark/>
          </w:tcPr>
          <w:p w14:paraId="5DCEA604" w14:textId="77777777" w:rsidR="00BA1E77" w:rsidRPr="00C62602" w:rsidRDefault="00BA1E77" w:rsidP="00C70998">
            <w:pPr>
              <w:pStyle w:val="JRCTabletext10pt"/>
            </w:pPr>
            <w:r w:rsidRPr="00C62602">
              <w:t>1</w:t>
            </w:r>
          </w:p>
        </w:tc>
        <w:tc>
          <w:tcPr>
            <w:tcW w:w="1755" w:type="pct"/>
            <w:noWrap/>
            <w:vAlign w:val="center"/>
            <w:hideMark/>
          </w:tcPr>
          <w:p w14:paraId="5BC3C9C2"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14</w:t>
            </w:r>
          </w:p>
        </w:tc>
        <w:tc>
          <w:tcPr>
            <w:tcW w:w="1580" w:type="pct"/>
            <w:noWrap/>
            <w:vAlign w:val="center"/>
            <w:hideMark/>
          </w:tcPr>
          <w:p w14:paraId="011FFD4F"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14</w:t>
            </w:r>
          </w:p>
        </w:tc>
      </w:tr>
      <w:tr w:rsidR="00BA1E77" w:rsidRPr="00C62602" w14:paraId="1B32F34C" w14:textId="77777777" w:rsidTr="00C70998">
        <w:trPr>
          <w:trHeight w:val="300"/>
        </w:trPr>
        <w:tc>
          <w:tcPr>
            <w:cnfStyle w:val="001000000000" w:firstRow="0" w:lastRow="0" w:firstColumn="1" w:lastColumn="0" w:oddVBand="0" w:evenVBand="0" w:oddHBand="0" w:evenHBand="0" w:firstRowFirstColumn="0" w:firstRowLastColumn="0" w:lastRowFirstColumn="0" w:lastRowLastColumn="0"/>
            <w:tcW w:w="1665" w:type="pct"/>
            <w:noWrap/>
            <w:vAlign w:val="center"/>
            <w:hideMark/>
          </w:tcPr>
          <w:p w14:paraId="598300FA" w14:textId="77777777" w:rsidR="00BA1E77" w:rsidRPr="00C62602" w:rsidRDefault="00BA1E77" w:rsidP="00C70998">
            <w:pPr>
              <w:pStyle w:val="JRCTabletext10pt"/>
            </w:pPr>
            <w:r w:rsidRPr="00C62602">
              <w:t>2</w:t>
            </w:r>
          </w:p>
        </w:tc>
        <w:tc>
          <w:tcPr>
            <w:tcW w:w="1755" w:type="pct"/>
            <w:noWrap/>
            <w:vAlign w:val="center"/>
            <w:hideMark/>
          </w:tcPr>
          <w:p w14:paraId="11C96618"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1</w:t>
            </w:r>
          </w:p>
        </w:tc>
        <w:tc>
          <w:tcPr>
            <w:tcW w:w="1580" w:type="pct"/>
            <w:noWrap/>
            <w:vAlign w:val="center"/>
            <w:hideMark/>
          </w:tcPr>
          <w:p w14:paraId="765E5014"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2</w:t>
            </w:r>
          </w:p>
        </w:tc>
      </w:tr>
      <w:tr w:rsidR="00BA1E77" w:rsidRPr="00C62602" w14:paraId="124D3521" w14:textId="77777777" w:rsidTr="00C70998">
        <w:trPr>
          <w:trHeight w:val="300"/>
        </w:trPr>
        <w:tc>
          <w:tcPr>
            <w:cnfStyle w:val="001000000000" w:firstRow="0" w:lastRow="0" w:firstColumn="1" w:lastColumn="0" w:oddVBand="0" w:evenVBand="0" w:oddHBand="0" w:evenHBand="0" w:firstRowFirstColumn="0" w:firstRowLastColumn="0" w:lastRowFirstColumn="0" w:lastRowLastColumn="0"/>
            <w:tcW w:w="1665" w:type="pct"/>
            <w:noWrap/>
            <w:vAlign w:val="center"/>
            <w:hideMark/>
          </w:tcPr>
          <w:p w14:paraId="0CAC70F8" w14:textId="77777777" w:rsidR="00BA1E77" w:rsidRPr="00C62602" w:rsidRDefault="00BA1E77" w:rsidP="00C70998">
            <w:pPr>
              <w:pStyle w:val="JRCTabletext10pt"/>
            </w:pPr>
            <w:r w:rsidRPr="00C62602">
              <w:t>3</w:t>
            </w:r>
          </w:p>
        </w:tc>
        <w:tc>
          <w:tcPr>
            <w:tcW w:w="1755" w:type="pct"/>
            <w:noWrap/>
            <w:vAlign w:val="center"/>
            <w:hideMark/>
          </w:tcPr>
          <w:p w14:paraId="4E76A313"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5</w:t>
            </w:r>
          </w:p>
        </w:tc>
        <w:tc>
          <w:tcPr>
            <w:tcW w:w="1580" w:type="pct"/>
            <w:noWrap/>
            <w:vAlign w:val="center"/>
            <w:hideMark/>
          </w:tcPr>
          <w:p w14:paraId="385AE698"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15</w:t>
            </w:r>
          </w:p>
        </w:tc>
      </w:tr>
      <w:tr w:rsidR="00BA1E77" w:rsidRPr="00C62602" w14:paraId="098AE7E9" w14:textId="77777777" w:rsidTr="00C70998">
        <w:trPr>
          <w:trHeight w:val="300"/>
        </w:trPr>
        <w:tc>
          <w:tcPr>
            <w:cnfStyle w:val="001000000000" w:firstRow="0" w:lastRow="0" w:firstColumn="1" w:lastColumn="0" w:oddVBand="0" w:evenVBand="0" w:oddHBand="0" w:evenHBand="0" w:firstRowFirstColumn="0" w:firstRowLastColumn="0" w:lastRowFirstColumn="0" w:lastRowLastColumn="0"/>
            <w:tcW w:w="1665" w:type="pct"/>
            <w:noWrap/>
            <w:vAlign w:val="center"/>
            <w:hideMark/>
          </w:tcPr>
          <w:p w14:paraId="36FBF9A6" w14:textId="77777777" w:rsidR="00BA1E77" w:rsidRPr="00C62602" w:rsidRDefault="00BA1E77" w:rsidP="00C70998">
            <w:pPr>
              <w:pStyle w:val="JRCTabletext10pt"/>
            </w:pPr>
            <w:r w:rsidRPr="00C62602">
              <w:t>4</w:t>
            </w:r>
          </w:p>
        </w:tc>
        <w:tc>
          <w:tcPr>
            <w:tcW w:w="1755" w:type="pct"/>
            <w:noWrap/>
            <w:vAlign w:val="center"/>
            <w:hideMark/>
          </w:tcPr>
          <w:p w14:paraId="7BA513CB"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2</w:t>
            </w:r>
          </w:p>
        </w:tc>
        <w:tc>
          <w:tcPr>
            <w:tcW w:w="1580" w:type="pct"/>
            <w:noWrap/>
            <w:vAlign w:val="center"/>
            <w:hideMark/>
          </w:tcPr>
          <w:p w14:paraId="06F53F52"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8</w:t>
            </w:r>
          </w:p>
        </w:tc>
      </w:tr>
      <w:tr w:rsidR="00BA1E77" w:rsidRPr="00C62602" w14:paraId="798691FF" w14:textId="77777777" w:rsidTr="00C70998">
        <w:trPr>
          <w:trHeight w:val="300"/>
        </w:trPr>
        <w:tc>
          <w:tcPr>
            <w:cnfStyle w:val="001000000000" w:firstRow="0" w:lastRow="0" w:firstColumn="1" w:lastColumn="0" w:oddVBand="0" w:evenVBand="0" w:oddHBand="0" w:evenHBand="0" w:firstRowFirstColumn="0" w:firstRowLastColumn="0" w:lastRowFirstColumn="0" w:lastRowLastColumn="0"/>
            <w:tcW w:w="1665" w:type="pct"/>
            <w:noWrap/>
            <w:vAlign w:val="center"/>
            <w:hideMark/>
          </w:tcPr>
          <w:p w14:paraId="30EF952F" w14:textId="77777777" w:rsidR="00BA1E77" w:rsidRPr="00C62602" w:rsidRDefault="00BA1E77" w:rsidP="00C70998">
            <w:pPr>
              <w:pStyle w:val="JRCTabletext10pt"/>
            </w:pPr>
            <w:r w:rsidRPr="00C62602">
              <w:t>7</w:t>
            </w:r>
          </w:p>
        </w:tc>
        <w:tc>
          <w:tcPr>
            <w:tcW w:w="1755" w:type="pct"/>
            <w:noWrap/>
            <w:vAlign w:val="center"/>
            <w:hideMark/>
          </w:tcPr>
          <w:p w14:paraId="723B071C"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1</w:t>
            </w:r>
          </w:p>
        </w:tc>
        <w:tc>
          <w:tcPr>
            <w:tcW w:w="1580" w:type="pct"/>
            <w:noWrap/>
            <w:vAlign w:val="center"/>
            <w:hideMark/>
          </w:tcPr>
          <w:p w14:paraId="5D8CB19C"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7</w:t>
            </w:r>
          </w:p>
        </w:tc>
      </w:tr>
      <w:tr w:rsidR="00BA1E77" w:rsidRPr="00C62602" w14:paraId="6E114116" w14:textId="77777777" w:rsidTr="00C70998">
        <w:trPr>
          <w:trHeight w:val="300"/>
        </w:trPr>
        <w:tc>
          <w:tcPr>
            <w:cnfStyle w:val="001000000000" w:firstRow="0" w:lastRow="0" w:firstColumn="1" w:lastColumn="0" w:oddVBand="0" w:evenVBand="0" w:oddHBand="0" w:evenHBand="0" w:firstRowFirstColumn="0" w:firstRowLastColumn="0" w:lastRowFirstColumn="0" w:lastRowLastColumn="0"/>
            <w:tcW w:w="1665" w:type="pct"/>
            <w:noWrap/>
            <w:vAlign w:val="center"/>
            <w:hideMark/>
          </w:tcPr>
          <w:p w14:paraId="3A9BEC28" w14:textId="77777777" w:rsidR="00BA1E77" w:rsidRPr="00C62602" w:rsidRDefault="00BA1E77" w:rsidP="00C70998">
            <w:pPr>
              <w:pStyle w:val="JRCTabletext10pt"/>
            </w:pPr>
            <w:r w:rsidRPr="00C62602">
              <w:t>8</w:t>
            </w:r>
          </w:p>
        </w:tc>
        <w:tc>
          <w:tcPr>
            <w:tcW w:w="1755" w:type="pct"/>
            <w:noWrap/>
            <w:vAlign w:val="center"/>
            <w:hideMark/>
          </w:tcPr>
          <w:p w14:paraId="0ABF9293"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1</w:t>
            </w:r>
          </w:p>
        </w:tc>
        <w:tc>
          <w:tcPr>
            <w:tcW w:w="1580" w:type="pct"/>
            <w:noWrap/>
            <w:vAlign w:val="center"/>
            <w:hideMark/>
          </w:tcPr>
          <w:p w14:paraId="7266D549"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8</w:t>
            </w:r>
          </w:p>
        </w:tc>
      </w:tr>
      <w:tr w:rsidR="00BA1E77" w:rsidRPr="00C62602" w14:paraId="12116BEA" w14:textId="77777777" w:rsidTr="00C70998">
        <w:trPr>
          <w:trHeight w:val="300"/>
        </w:trPr>
        <w:tc>
          <w:tcPr>
            <w:cnfStyle w:val="001000000000" w:firstRow="0" w:lastRow="0" w:firstColumn="1" w:lastColumn="0" w:oddVBand="0" w:evenVBand="0" w:oddHBand="0" w:evenHBand="0" w:firstRowFirstColumn="0" w:firstRowLastColumn="0" w:lastRowFirstColumn="0" w:lastRowLastColumn="0"/>
            <w:tcW w:w="1665" w:type="pct"/>
            <w:noWrap/>
            <w:vAlign w:val="center"/>
            <w:hideMark/>
          </w:tcPr>
          <w:p w14:paraId="26FAD4AA" w14:textId="77777777" w:rsidR="00BA1E77" w:rsidRPr="00C62602" w:rsidRDefault="00BA1E77" w:rsidP="00C70998">
            <w:pPr>
              <w:pStyle w:val="JRCTabletext10pt"/>
            </w:pPr>
            <w:r w:rsidRPr="00C62602">
              <w:t>10</w:t>
            </w:r>
          </w:p>
        </w:tc>
        <w:tc>
          <w:tcPr>
            <w:tcW w:w="1755" w:type="pct"/>
            <w:noWrap/>
            <w:vAlign w:val="center"/>
            <w:hideMark/>
          </w:tcPr>
          <w:p w14:paraId="7FBD5858"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2</w:t>
            </w:r>
          </w:p>
        </w:tc>
        <w:tc>
          <w:tcPr>
            <w:tcW w:w="1580" w:type="pct"/>
            <w:noWrap/>
            <w:vAlign w:val="center"/>
            <w:hideMark/>
          </w:tcPr>
          <w:p w14:paraId="1DF318F7"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20</w:t>
            </w:r>
          </w:p>
        </w:tc>
      </w:tr>
      <w:tr w:rsidR="00BA1E77" w:rsidRPr="00C62602" w14:paraId="39C967BB" w14:textId="77777777" w:rsidTr="00C70998">
        <w:trPr>
          <w:trHeight w:val="300"/>
        </w:trPr>
        <w:tc>
          <w:tcPr>
            <w:cnfStyle w:val="001000000000" w:firstRow="0" w:lastRow="0" w:firstColumn="1" w:lastColumn="0" w:oddVBand="0" w:evenVBand="0" w:oddHBand="0" w:evenHBand="0" w:firstRowFirstColumn="0" w:firstRowLastColumn="0" w:lastRowFirstColumn="0" w:lastRowLastColumn="0"/>
            <w:tcW w:w="1665" w:type="pct"/>
            <w:noWrap/>
            <w:vAlign w:val="center"/>
            <w:hideMark/>
          </w:tcPr>
          <w:p w14:paraId="41659B9E" w14:textId="77777777" w:rsidR="00BA1E77" w:rsidRPr="00C62602" w:rsidRDefault="00BA1E77" w:rsidP="00C70998">
            <w:pPr>
              <w:pStyle w:val="JRCTabletext10pt"/>
            </w:pPr>
            <w:r w:rsidRPr="00C62602">
              <w:t>13</w:t>
            </w:r>
          </w:p>
        </w:tc>
        <w:tc>
          <w:tcPr>
            <w:tcW w:w="1755" w:type="pct"/>
            <w:noWrap/>
            <w:vAlign w:val="center"/>
            <w:hideMark/>
          </w:tcPr>
          <w:p w14:paraId="720FCB4C"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1</w:t>
            </w:r>
          </w:p>
        </w:tc>
        <w:tc>
          <w:tcPr>
            <w:tcW w:w="1580" w:type="pct"/>
            <w:noWrap/>
            <w:vAlign w:val="center"/>
            <w:hideMark/>
          </w:tcPr>
          <w:p w14:paraId="62F706B6"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13</w:t>
            </w:r>
          </w:p>
        </w:tc>
      </w:tr>
      <w:tr w:rsidR="00BA1E77" w:rsidRPr="00C62602" w14:paraId="654ECD98" w14:textId="77777777" w:rsidTr="00C70998">
        <w:trPr>
          <w:trHeight w:val="300"/>
        </w:trPr>
        <w:tc>
          <w:tcPr>
            <w:cnfStyle w:val="001000000000" w:firstRow="0" w:lastRow="0" w:firstColumn="1" w:lastColumn="0" w:oddVBand="0" w:evenVBand="0" w:oddHBand="0" w:evenHBand="0" w:firstRowFirstColumn="0" w:firstRowLastColumn="0" w:lastRowFirstColumn="0" w:lastRowLastColumn="0"/>
            <w:tcW w:w="1665" w:type="pct"/>
            <w:noWrap/>
            <w:vAlign w:val="center"/>
            <w:hideMark/>
          </w:tcPr>
          <w:p w14:paraId="7E9D552F" w14:textId="77777777" w:rsidR="00BA1E77" w:rsidRPr="00C62602" w:rsidRDefault="00BA1E77" w:rsidP="00C70998">
            <w:pPr>
              <w:pStyle w:val="JRCTabletext10pt"/>
            </w:pPr>
            <w:r w:rsidRPr="00C62602">
              <w:t>16</w:t>
            </w:r>
          </w:p>
        </w:tc>
        <w:tc>
          <w:tcPr>
            <w:tcW w:w="1755" w:type="pct"/>
            <w:noWrap/>
            <w:vAlign w:val="center"/>
            <w:hideMark/>
          </w:tcPr>
          <w:p w14:paraId="74D9ED9F"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1</w:t>
            </w:r>
          </w:p>
        </w:tc>
        <w:tc>
          <w:tcPr>
            <w:tcW w:w="1580" w:type="pct"/>
            <w:noWrap/>
            <w:vAlign w:val="center"/>
            <w:hideMark/>
          </w:tcPr>
          <w:p w14:paraId="677DEF36"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16</w:t>
            </w:r>
          </w:p>
        </w:tc>
      </w:tr>
      <w:tr w:rsidR="00BA1E77" w:rsidRPr="00C62602" w14:paraId="70746862" w14:textId="77777777" w:rsidTr="00C70998">
        <w:trPr>
          <w:trHeight w:val="300"/>
        </w:trPr>
        <w:tc>
          <w:tcPr>
            <w:cnfStyle w:val="001000000000" w:firstRow="0" w:lastRow="0" w:firstColumn="1" w:lastColumn="0" w:oddVBand="0" w:evenVBand="0" w:oddHBand="0" w:evenHBand="0" w:firstRowFirstColumn="0" w:firstRowLastColumn="0" w:lastRowFirstColumn="0" w:lastRowLastColumn="0"/>
            <w:tcW w:w="1665" w:type="pct"/>
            <w:noWrap/>
            <w:vAlign w:val="center"/>
            <w:hideMark/>
          </w:tcPr>
          <w:p w14:paraId="1B323E67" w14:textId="77777777" w:rsidR="00BA1E77" w:rsidRPr="00C62602" w:rsidRDefault="00BA1E77" w:rsidP="00C70998">
            <w:pPr>
              <w:pStyle w:val="JRCTabletext10pt"/>
            </w:pPr>
            <w:r w:rsidRPr="00C62602">
              <w:t>24</w:t>
            </w:r>
          </w:p>
        </w:tc>
        <w:tc>
          <w:tcPr>
            <w:tcW w:w="1755" w:type="pct"/>
            <w:noWrap/>
            <w:vAlign w:val="center"/>
            <w:hideMark/>
          </w:tcPr>
          <w:p w14:paraId="7190A465"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1</w:t>
            </w:r>
          </w:p>
        </w:tc>
        <w:tc>
          <w:tcPr>
            <w:tcW w:w="1580" w:type="pct"/>
            <w:noWrap/>
            <w:vAlign w:val="center"/>
            <w:hideMark/>
          </w:tcPr>
          <w:p w14:paraId="54FFB29F"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24</w:t>
            </w:r>
          </w:p>
        </w:tc>
      </w:tr>
      <w:tr w:rsidR="00BA1E77" w:rsidRPr="00C62602" w14:paraId="18180FDD" w14:textId="77777777" w:rsidTr="00C70998">
        <w:trPr>
          <w:trHeight w:val="300"/>
        </w:trPr>
        <w:tc>
          <w:tcPr>
            <w:cnfStyle w:val="001000000000" w:firstRow="0" w:lastRow="0" w:firstColumn="1" w:lastColumn="0" w:oddVBand="0" w:evenVBand="0" w:oddHBand="0" w:evenHBand="0" w:firstRowFirstColumn="0" w:firstRowLastColumn="0" w:lastRowFirstColumn="0" w:lastRowLastColumn="0"/>
            <w:tcW w:w="1665" w:type="pct"/>
            <w:noWrap/>
            <w:vAlign w:val="center"/>
            <w:hideMark/>
          </w:tcPr>
          <w:p w14:paraId="3CD563A6" w14:textId="77777777" w:rsidR="00BA1E77" w:rsidRPr="00C62602" w:rsidRDefault="00BA1E77" w:rsidP="00C70998">
            <w:pPr>
              <w:pStyle w:val="JRCTabletext10pt"/>
            </w:pPr>
            <w:r w:rsidRPr="00C62602">
              <w:t>46</w:t>
            </w:r>
          </w:p>
        </w:tc>
        <w:tc>
          <w:tcPr>
            <w:tcW w:w="1755" w:type="pct"/>
            <w:noWrap/>
            <w:vAlign w:val="center"/>
            <w:hideMark/>
          </w:tcPr>
          <w:p w14:paraId="615CAE72"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1</w:t>
            </w:r>
          </w:p>
        </w:tc>
        <w:tc>
          <w:tcPr>
            <w:tcW w:w="1580" w:type="pct"/>
            <w:noWrap/>
            <w:vAlign w:val="center"/>
            <w:hideMark/>
          </w:tcPr>
          <w:p w14:paraId="3B9D2EC5"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46</w:t>
            </w:r>
          </w:p>
        </w:tc>
      </w:tr>
    </w:tbl>
    <w:p w14:paraId="6E255205" w14:textId="77777777" w:rsidR="00BA1E77" w:rsidRPr="00DB00D1" w:rsidRDefault="00BA1E77" w:rsidP="00BA1E77">
      <w:pPr>
        <w:pStyle w:val="JRCTablesource"/>
      </w:pPr>
      <w:r w:rsidRPr="00D54855">
        <w:rPr>
          <w:b/>
          <w:bCs/>
          <w:iCs/>
        </w:rPr>
        <w:t>Source:</w:t>
      </w:r>
      <w:r w:rsidRPr="00DB00D1">
        <w:t xml:space="preserve"> ORBIS – data extracted in September 2024</w:t>
      </w:r>
    </w:p>
    <w:p w14:paraId="28C8879F" w14:textId="77777777" w:rsidR="00BA1E77" w:rsidRPr="00DB00D1" w:rsidRDefault="00BA1E77" w:rsidP="00BA1E77">
      <w:pPr>
        <w:pStyle w:val="JRCTabletitle"/>
      </w:pPr>
      <w:bookmarkStart w:id="78" w:name="_Toc220938961"/>
      <w:bookmarkStart w:id="79" w:name="_Toc221271671"/>
      <w:r w:rsidRPr="00C62602">
        <w:rPr>
          <w:b/>
          <w:bCs/>
        </w:rPr>
        <w:t xml:space="preserve">Table </w:t>
      </w:r>
      <w:r w:rsidRPr="00C62602">
        <w:rPr>
          <w:b/>
          <w:bCs/>
        </w:rPr>
        <w:fldChar w:fldCharType="begin"/>
      </w:r>
      <w:r w:rsidRPr="00C62602">
        <w:rPr>
          <w:b/>
          <w:bCs/>
        </w:rPr>
        <w:instrText xml:space="preserve"> SEQ Table \* ARABIC </w:instrText>
      </w:r>
      <w:r w:rsidRPr="00C62602">
        <w:rPr>
          <w:b/>
          <w:bCs/>
        </w:rPr>
        <w:fldChar w:fldCharType="separate"/>
      </w:r>
      <w:r>
        <w:rPr>
          <w:b/>
          <w:bCs/>
          <w:noProof/>
        </w:rPr>
        <w:t>9</w:t>
      </w:r>
      <w:r w:rsidRPr="00C62602">
        <w:rPr>
          <w:b/>
          <w:bCs/>
        </w:rPr>
        <w:fldChar w:fldCharType="end"/>
      </w:r>
      <w:r w:rsidRPr="00D54855">
        <w:rPr>
          <w:b/>
          <w:bCs/>
        </w:rPr>
        <w:t>.</w:t>
      </w:r>
      <w:r>
        <w:rPr>
          <w:b/>
          <w:bCs/>
        </w:rPr>
        <w:t xml:space="preserve"> </w:t>
      </w:r>
      <w:r w:rsidRPr="00DB00D1">
        <w:t>Age of patenting firms (considering 2023 as the final year)</w:t>
      </w:r>
      <w:bookmarkEnd w:id="78"/>
      <w:bookmarkEnd w:id="79"/>
    </w:p>
    <w:tbl>
      <w:tblPr>
        <w:tblStyle w:val="JRCTableBasic"/>
        <w:tblW w:w="5000" w:type="pct"/>
        <w:tblLook w:val="04A0" w:firstRow="1" w:lastRow="0" w:firstColumn="1" w:lastColumn="0" w:noHBand="0" w:noVBand="1"/>
      </w:tblPr>
      <w:tblGrid>
        <w:gridCol w:w="3256"/>
        <w:gridCol w:w="6372"/>
      </w:tblGrid>
      <w:tr w:rsidR="00BA1E77" w:rsidRPr="00C62602" w14:paraId="50C73919" w14:textId="77777777" w:rsidTr="00C70998">
        <w:trPr>
          <w:cnfStyle w:val="100000000000" w:firstRow="1" w:lastRow="0" w:firstColumn="0" w:lastColumn="0" w:oddVBand="0" w:evenVBand="0" w:oddHBand="0" w:evenHBand="0" w:firstRowFirstColumn="0" w:firstRowLastColumn="0" w:lastRowFirstColumn="0" w:lastRowLastColumn="0"/>
          <w:trHeight w:val="402"/>
        </w:trPr>
        <w:tc>
          <w:tcPr>
            <w:cnfStyle w:val="001000000000" w:firstRow="0" w:lastRow="0" w:firstColumn="1" w:lastColumn="0" w:oddVBand="0" w:evenVBand="0" w:oddHBand="0" w:evenHBand="0" w:firstRowFirstColumn="0" w:firstRowLastColumn="0" w:lastRowFirstColumn="0" w:lastRowLastColumn="0"/>
            <w:tcW w:w="1691" w:type="pct"/>
            <w:noWrap/>
            <w:vAlign w:val="center"/>
            <w:hideMark/>
          </w:tcPr>
          <w:p w14:paraId="3007B7B4" w14:textId="77777777" w:rsidR="00BA1E77" w:rsidRPr="00D54855" w:rsidRDefault="00BA1E77" w:rsidP="00C70998">
            <w:pPr>
              <w:pStyle w:val="JRCTableBoxtitle"/>
              <w:spacing w:before="40" w:after="40"/>
              <w:jc w:val="left"/>
              <w:rPr>
                <w:b/>
                <w:bCs/>
              </w:rPr>
            </w:pPr>
            <w:r w:rsidRPr="00D54855">
              <w:rPr>
                <w:b/>
                <w:bCs/>
              </w:rPr>
              <w:t>Cohort of birth</w:t>
            </w:r>
          </w:p>
        </w:tc>
        <w:tc>
          <w:tcPr>
            <w:tcW w:w="3309" w:type="pct"/>
            <w:noWrap/>
            <w:vAlign w:val="center"/>
            <w:hideMark/>
          </w:tcPr>
          <w:p w14:paraId="331F3F2C" w14:textId="77777777" w:rsidR="00BA1E77" w:rsidRPr="00D54855" w:rsidRDefault="00BA1E77" w:rsidP="00C70998">
            <w:pPr>
              <w:pStyle w:val="JRCTableBoxtitle"/>
              <w:spacing w:before="40" w:after="40"/>
              <w:jc w:val="left"/>
              <w:cnfStyle w:val="100000000000" w:firstRow="1" w:lastRow="0" w:firstColumn="0" w:lastColumn="0" w:oddVBand="0" w:evenVBand="0" w:oddHBand="0" w:evenHBand="0" w:firstRowFirstColumn="0" w:firstRowLastColumn="0" w:lastRowFirstColumn="0" w:lastRowLastColumn="0"/>
              <w:rPr>
                <w:b/>
                <w:bCs/>
              </w:rPr>
            </w:pPr>
            <w:r w:rsidRPr="00D54855">
              <w:rPr>
                <w:b/>
                <w:bCs/>
              </w:rPr>
              <w:t>Number of patenting firms</w:t>
            </w:r>
          </w:p>
        </w:tc>
      </w:tr>
      <w:tr w:rsidR="00BA1E77" w:rsidRPr="00C62602" w14:paraId="2DF3D0B3" w14:textId="77777777" w:rsidTr="00C70998">
        <w:trPr>
          <w:trHeight w:val="168"/>
        </w:trPr>
        <w:tc>
          <w:tcPr>
            <w:cnfStyle w:val="001000000000" w:firstRow="0" w:lastRow="0" w:firstColumn="1" w:lastColumn="0" w:oddVBand="0" w:evenVBand="0" w:oddHBand="0" w:evenHBand="0" w:firstRowFirstColumn="0" w:firstRowLastColumn="0" w:lastRowFirstColumn="0" w:lastRowLastColumn="0"/>
            <w:tcW w:w="1691" w:type="pct"/>
            <w:noWrap/>
            <w:vAlign w:val="center"/>
            <w:hideMark/>
          </w:tcPr>
          <w:p w14:paraId="05E6642E" w14:textId="77777777" w:rsidR="00BA1E77" w:rsidRPr="00C62602" w:rsidRDefault="00BA1E77" w:rsidP="00C70998">
            <w:pPr>
              <w:pStyle w:val="JRCTabletext10pt"/>
            </w:pPr>
            <w:r w:rsidRPr="00C62602">
              <w:t>Before 20</w:t>
            </w:r>
          </w:p>
        </w:tc>
        <w:tc>
          <w:tcPr>
            <w:tcW w:w="3309" w:type="pct"/>
            <w:noWrap/>
            <w:vAlign w:val="center"/>
            <w:hideMark/>
          </w:tcPr>
          <w:p w14:paraId="729DE1FE"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13</w:t>
            </w:r>
          </w:p>
        </w:tc>
      </w:tr>
      <w:tr w:rsidR="00BA1E77" w:rsidRPr="00C62602" w14:paraId="3263DBA2" w14:textId="77777777" w:rsidTr="00C70998">
        <w:trPr>
          <w:trHeight w:val="247"/>
        </w:trPr>
        <w:tc>
          <w:tcPr>
            <w:cnfStyle w:val="001000000000" w:firstRow="0" w:lastRow="0" w:firstColumn="1" w:lastColumn="0" w:oddVBand="0" w:evenVBand="0" w:oddHBand="0" w:evenHBand="0" w:firstRowFirstColumn="0" w:firstRowLastColumn="0" w:lastRowFirstColumn="0" w:lastRowLastColumn="0"/>
            <w:tcW w:w="1691" w:type="pct"/>
            <w:noWrap/>
            <w:vAlign w:val="center"/>
            <w:hideMark/>
          </w:tcPr>
          <w:p w14:paraId="7D9A2D94" w14:textId="77777777" w:rsidR="00BA1E77" w:rsidRPr="00C62602" w:rsidRDefault="00BA1E77" w:rsidP="00C70998">
            <w:pPr>
              <w:pStyle w:val="JRCTabletext10pt"/>
            </w:pPr>
            <w:r w:rsidRPr="00C62602">
              <w:t>20-16</w:t>
            </w:r>
          </w:p>
        </w:tc>
        <w:tc>
          <w:tcPr>
            <w:tcW w:w="3309" w:type="pct"/>
            <w:noWrap/>
            <w:vAlign w:val="center"/>
            <w:hideMark/>
          </w:tcPr>
          <w:p w14:paraId="1ED37CB5"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8</w:t>
            </w:r>
          </w:p>
        </w:tc>
      </w:tr>
      <w:tr w:rsidR="00BA1E77" w:rsidRPr="00C62602" w14:paraId="7BD8A604" w14:textId="77777777" w:rsidTr="00C70998">
        <w:trPr>
          <w:trHeight w:val="279"/>
        </w:trPr>
        <w:tc>
          <w:tcPr>
            <w:cnfStyle w:val="001000000000" w:firstRow="0" w:lastRow="0" w:firstColumn="1" w:lastColumn="0" w:oddVBand="0" w:evenVBand="0" w:oddHBand="0" w:evenHBand="0" w:firstRowFirstColumn="0" w:firstRowLastColumn="0" w:lastRowFirstColumn="0" w:lastRowLastColumn="0"/>
            <w:tcW w:w="1691" w:type="pct"/>
            <w:noWrap/>
            <w:vAlign w:val="center"/>
            <w:hideMark/>
          </w:tcPr>
          <w:p w14:paraId="3BEDB250" w14:textId="77777777" w:rsidR="00BA1E77" w:rsidRPr="00C62602" w:rsidRDefault="00BA1E77" w:rsidP="00C70998">
            <w:pPr>
              <w:pStyle w:val="JRCTabletext10pt"/>
            </w:pPr>
            <w:r w:rsidRPr="00C62602">
              <w:t>15-11</w:t>
            </w:r>
          </w:p>
        </w:tc>
        <w:tc>
          <w:tcPr>
            <w:tcW w:w="3309" w:type="pct"/>
            <w:noWrap/>
            <w:vAlign w:val="center"/>
            <w:hideMark/>
          </w:tcPr>
          <w:p w14:paraId="28DE8673"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5</w:t>
            </w:r>
          </w:p>
        </w:tc>
      </w:tr>
      <w:tr w:rsidR="00BA1E77" w:rsidRPr="00C62602" w14:paraId="26B99D77" w14:textId="77777777" w:rsidTr="00C70998">
        <w:trPr>
          <w:trHeight w:val="255"/>
        </w:trPr>
        <w:tc>
          <w:tcPr>
            <w:cnfStyle w:val="001000000000" w:firstRow="0" w:lastRow="0" w:firstColumn="1" w:lastColumn="0" w:oddVBand="0" w:evenVBand="0" w:oddHBand="0" w:evenHBand="0" w:firstRowFirstColumn="0" w:firstRowLastColumn="0" w:lastRowFirstColumn="0" w:lastRowLastColumn="0"/>
            <w:tcW w:w="1691" w:type="pct"/>
            <w:noWrap/>
            <w:vAlign w:val="center"/>
            <w:hideMark/>
          </w:tcPr>
          <w:p w14:paraId="4165E927" w14:textId="77777777" w:rsidR="00BA1E77" w:rsidRPr="00C62602" w:rsidRDefault="00BA1E77" w:rsidP="00C70998">
            <w:pPr>
              <w:pStyle w:val="JRCTabletext10pt"/>
            </w:pPr>
            <w:r w:rsidRPr="00C62602">
              <w:t>10-05</w:t>
            </w:r>
          </w:p>
        </w:tc>
        <w:tc>
          <w:tcPr>
            <w:tcW w:w="3309" w:type="pct"/>
            <w:noWrap/>
            <w:vAlign w:val="center"/>
            <w:hideMark/>
          </w:tcPr>
          <w:p w14:paraId="7DAE6730"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1</w:t>
            </w:r>
          </w:p>
        </w:tc>
      </w:tr>
      <w:tr w:rsidR="00BA1E77" w:rsidRPr="00C62602" w14:paraId="662DB0D0" w14:textId="77777777" w:rsidTr="00C70998">
        <w:trPr>
          <w:trHeight w:val="131"/>
        </w:trPr>
        <w:tc>
          <w:tcPr>
            <w:cnfStyle w:val="001000000000" w:firstRow="0" w:lastRow="0" w:firstColumn="1" w:lastColumn="0" w:oddVBand="0" w:evenVBand="0" w:oddHBand="0" w:evenHBand="0" w:firstRowFirstColumn="0" w:firstRowLastColumn="0" w:lastRowFirstColumn="0" w:lastRowLastColumn="0"/>
            <w:tcW w:w="1691" w:type="pct"/>
            <w:noWrap/>
            <w:vAlign w:val="center"/>
            <w:hideMark/>
          </w:tcPr>
          <w:p w14:paraId="39DAAFFA" w14:textId="77777777" w:rsidR="00BA1E77" w:rsidRPr="00C62602" w:rsidRDefault="00BA1E77" w:rsidP="00C70998">
            <w:pPr>
              <w:pStyle w:val="JRCTabletext10pt"/>
            </w:pPr>
            <w:r w:rsidRPr="00C62602">
              <w:t>04-0</w:t>
            </w:r>
          </w:p>
        </w:tc>
        <w:tc>
          <w:tcPr>
            <w:tcW w:w="3309" w:type="pct"/>
            <w:noWrap/>
            <w:vAlign w:val="center"/>
            <w:hideMark/>
          </w:tcPr>
          <w:p w14:paraId="159DEA2E"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3</w:t>
            </w:r>
          </w:p>
        </w:tc>
      </w:tr>
    </w:tbl>
    <w:p w14:paraId="01E50E0F" w14:textId="77777777" w:rsidR="00BA1E77" w:rsidRPr="00DB00D1" w:rsidRDefault="00BA1E77" w:rsidP="00BA1E77">
      <w:pPr>
        <w:pStyle w:val="JRCTablesource"/>
      </w:pPr>
      <w:r w:rsidRPr="00D54855">
        <w:rPr>
          <w:b/>
          <w:bCs/>
          <w:iCs/>
        </w:rPr>
        <w:t>Source:</w:t>
      </w:r>
      <w:r w:rsidRPr="00DB00D1">
        <w:t xml:space="preserve"> ORBIS– data extracted in September 2024</w:t>
      </w:r>
    </w:p>
    <w:p w14:paraId="4B58F78B" w14:textId="77777777" w:rsidR="00BA1E77" w:rsidRPr="00DB00D1" w:rsidRDefault="00BA1E77" w:rsidP="00BA1E77">
      <w:pPr>
        <w:pStyle w:val="JRCTabletitle"/>
      </w:pPr>
      <w:bookmarkStart w:id="80" w:name="_Toc220938962"/>
      <w:bookmarkStart w:id="81" w:name="_Toc221271672"/>
      <w:r w:rsidRPr="00C62602">
        <w:rPr>
          <w:b/>
          <w:bCs/>
        </w:rPr>
        <w:t xml:space="preserve">Table </w:t>
      </w:r>
      <w:r w:rsidRPr="00C62602">
        <w:rPr>
          <w:b/>
          <w:bCs/>
        </w:rPr>
        <w:fldChar w:fldCharType="begin"/>
      </w:r>
      <w:r w:rsidRPr="00C62602">
        <w:rPr>
          <w:b/>
          <w:bCs/>
        </w:rPr>
        <w:instrText xml:space="preserve"> SEQ Table \* ARABIC </w:instrText>
      </w:r>
      <w:r w:rsidRPr="00C62602">
        <w:rPr>
          <w:b/>
          <w:bCs/>
        </w:rPr>
        <w:fldChar w:fldCharType="separate"/>
      </w:r>
      <w:r>
        <w:rPr>
          <w:b/>
          <w:bCs/>
          <w:noProof/>
        </w:rPr>
        <w:t>10</w:t>
      </w:r>
      <w:r w:rsidRPr="00C62602">
        <w:rPr>
          <w:b/>
          <w:bCs/>
        </w:rPr>
        <w:fldChar w:fldCharType="end"/>
      </w:r>
      <w:r w:rsidRPr="00D54855">
        <w:rPr>
          <w:b/>
          <w:bCs/>
        </w:rPr>
        <w:t>.</w:t>
      </w:r>
      <w:r w:rsidRPr="00DB00D1">
        <w:t xml:space="preserve"> Location of patenting firms</w:t>
      </w:r>
      <w:bookmarkEnd w:id="80"/>
      <w:bookmarkEnd w:id="81"/>
    </w:p>
    <w:tbl>
      <w:tblPr>
        <w:tblStyle w:val="JRCTableBasic"/>
        <w:tblW w:w="5000" w:type="pct"/>
        <w:tblLook w:val="04A0" w:firstRow="1" w:lastRow="0" w:firstColumn="1" w:lastColumn="0" w:noHBand="0" w:noVBand="1"/>
      </w:tblPr>
      <w:tblGrid>
        <w:gridCol w:w="3256"/>
        <w:gridCol w:w="6372"/>
      </w:tblGrid>
      <w:tr w:rsidR="00BA1E77" w:rsidRPr="00C62602" w14:paraId="5B84597C" w14:textId="77777777" w:rsidTr="00C70998">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691" w:type="pct"/>
            <w:noWrap/>
            <w:vAlign w:val="center"/>
            <w:hideMark/>
          </w:tcPr>
          <w:p w14:paraId="2F1D5BC7" w14:textId="77777777" w:rsidR="00BA1E77" w:rsidRPr="00D54855" w:rsidRDefault="00BA1E77" w:rsidP="00C70998">
            <w:pPr>
              <w:pStyle w:val="JRCTableBoxtitle"/>
              <w:spacing w:before="40" w:after="40"/>
              <w:jc w:val="left"/>
              <w:rPr>
                <w:b/>
                <w:bCs/>
              </w:rPr>
            </w:pPr>
            <w:r w:rsidRPr="00D54855">
              <w:rPr>
                <w:b/>
                <w:bCs/>
              </w:rPr>
              <w:t>Location</w:t>
            </w:r>
          </w:p>
        </w:tc>
        <w:tc>
          <w:tcPr>
            <w:tcW w:w="3309" w:type="pct"/>
            <w:noWrap/>
            <w:vAlign w:val="center"/>
            <w:hideMark/>
          </w:tcPr>
          <w:p w14:paraId="1456A854" w14:textId="77777777" w:rsidR="00BA1E77" w:rsidRPr="00D54855" w:rsidRDefault="00BA1E77" w:rsidP="00C70998">
            <w:pPr>
              <w:pStyle w:val="JRCTableBoxtitle"/>
              <w:spacing w:before="40" w:after="40"/>
              <w:jc w:val="left"/>
              <w:cnfStyle w:val="100000000000" w:firstRow="1" w:lastRow="0" w:firstColumn="0" w:lastColumn="0" w:oddVBand="0" w:evenVBand="0" w:oddHBand="0" w:evenHBand="0" w:firstRowFirstColumn="0" w:firstRowLastColumn="0" w:lastRowFirstColumn="0" w:lastRowLastColumn="0"/>
              <w:rPr>
                <w:b/>
                <w:bCs/>
              </w:rPr>
            </w:pPr>
            <w:r w:rsidRPr="00D54855">
              <w:rPr>
                <w:b/>
                <w:bCs/>
              </w:rPr>
              <w:t>Number of patenting firms</w:t>
            </w:r>
          </w:p>
        </w:tc>
      </w:tr>
      <w:tr w:rsidR="00BA1E77" w:rsidRPr="00C62602" w14:paraId="45FA99EA" w14:textId="77777777" w:rsidTr="00C70998">
        <w:trPr>
          <w:trHeight w:val="300"/>
        </w:trPr>
        <w:tc>
          <w:tcPr>
            <w:cnfStyle w:val="001000000000" w:firstRow="0" w:lastRow="0" w:firstColumn="1" w:lastColumn="0" w:oddVBand="0" w:evenVBand="0" w:oddHBand="0" w:evenHBand="0" w:firstRowFirstColumn="0" w:firstRowLastColumn="0" w:lastRowFirstColumn="0" w:lastRowLastColumn="0"/>
            <w:tcW w:w="1691" w:type="pct"/>
            <w:noWrap/>
            <w:vAlign w:val="center"/>
            <w:hideMark/>
          </w:tcPr>
          <w:p w14:paraId="7F69C202" w14:textId="77777777" w:rsidR="00BA1E77" w:rsidRPr="00C62602" w:rsidRDefault="00BA1E77" w:rsidP="00C70998">
            <w:pPr>
              <w:pStyle w:val="JRCText"/>
              <w:spacing w:before="40" w:after="40"/>
            </w:pPr>
            <w:r w:rsidRPr="00C62602">
              <w:t>Podgorica</w:t>
            </w:r>
          </w:p>
        </w:tc>
        <w:tc>
          <w:tcPr>
            <w:tcW w:w="3309" w:type="pct"/>
            <w:noWrap/>
            <w:vAlign w:val="center"/>
            <w:hideMark/>
          </w:tcPr>
          <w:p w14:paraId="1744D05F" w14:textId="77777777" w:rsidR="00BA1E77" w:rsidRPr="00C62602" w:rsidRDefault="00BA1E77" w:rsidP="00C70998">
            <w:pPr>
              <w:pStyle w:val="JRCText"/>
              <w:spacing w:before="40" w:after="40"/>
              <w:cnfStyle w:val="000000000000" w:firstRow="0" w:lastRow="0" w:firstColumn="0" w:lastColumn="0" w:oddVBand="0" w:evenVBand="0" w:oddHBand="0" w:evenHBand="0" w:firstRowFirstColumn="0" w:firstRowLastColumn="0" w:lastRowFirstColumn="0" w:lastRowLastColumn="0"/>
            </w:pPr>
            <w:r w:rsidRPr="00C62602">
              <w:t>17</w:t>
            </w:r>
          </w:p>
        </w:tc>
      </w:tr>
      <w:tr w:rsidR="00BA1E77" w:rsidRPr="00C62602" w14:paraId="36BAC9B3" w14:textId="77777777" w:rsidTr="00C70998">
        <w:trPr>
          <w:trHeight w:val="300"/>
        </w:trPr>
        <w:tc>
          <w:tcPr>
            <w:cnfStyle w:val="001000000000" w:firstRow="0" w:lastRow="0" w:firstColumn="1" w:lastColumn="0" w:oddVBand="0" w:evenVBand="0" w:oddHBand="0" w:evenHBand="0" w:firstRowFirstColumn="0" w:firstRowLastColumn="0" w:lastRowFirstColumn="0" w:lastRowLastColumn="0"/>
            <w:tcW w:w="1691" w:type="pct"/>
            <w:noWrap/>
            <w:vAlign w:val="center"/>
            <w:hideMark/>
          </w:tcPr>
          <w:p w14:paraId="39EF71D6" w14:textId="77777777" w:rsidR="00BA1E77" w:rsidRPr="00C62602" w:rsidRDefault="00BA1E77" w:rsidP="00C70998">
            <w:pPr>
              <w:pStyle w:val="JRCText"/>
              <w:spacing w:before="40" w:after="40"/>
            </w:pPr>
            <w:r w:rsidRPr="00C62602">
              <w:t>Bar</w:t>
            </w:r>
          </w:p>
        </w:tc>
        <w:tc>
          <w:tcPr>
            <w:tcW w:w="3309" w:type="pct"/>
            <w:noWrap/>
            <w:vAlign w:val="center"/>
            <w:hideMark/>
          </w:tcPr>
          <w:p w14:paraId="31EEF1B0" w14:textId="77777777" w:rsidR="00BA1E77" w:rsidRPr="00C62602" w:rsidRDefault="00BA1E77" w:rsidP="00C70998">
            <w:pPr>
              <w:pStyle w:val="JRCText"/>
              <w:spacing w:before="40" w:after="40"/>
              <w:cnfStyle w:val="000000000000" w:firstRow="0" w:lastRow="0" w:firstColumn="0" w:lastColumn="0" w:oddVBand="0" w:evenVBand="0" w:oddHBand="0" w:evenHBand="0" w:firstRowFirstColumn="0" w:firstRowLastColumn="0" w:lastRowFirstColumn="0" w:lastRowLastColumn="0"/>
            </w:pPr>
            <w:r w:rsidRPr="00C62602">
              <w:t>4</w:t>
            </w:r>
          </w:p>
        </w:tc>
      </w:tr>
      <w:tr w:rsidR="00BA1E77" w:rsidRPr="00C62602" w14:paraId="7DC3CD64" w14:textId="77777777" w:rsidTr="00C70998">
        <w:trPr>
          <w:trHeight w:val="300"/>
        </w:trPr>
        <w:tc>
          <w:tcPr>
            <w:cnfStyle w:val="001000000000" w:firstRow="0" w:lastRow="0" w:firstColumn="1" w:lastColumn="0" w:oddVBand="0" w:evenVBand="0" w:oddHBand="0" w:evenHBand="0" w:firstRowFirstColumn="0" w:firstRowLastColumn="0" w:lastRowFirstColumn="0" w:lastRowLastColumn="0"/>
            <w:tcW w:w="1691" w:type="pct"/>
            <w:noWrap/>
            <w:vAlign w:val="center"/>
            <w:hideMark/>
          </w:tcPr>
          <w:p w14:paraId="36D8ACEC" w14:textId="77777777" w:rsidR="00BA1E77" w:rsidRPr="00C62602" w:rsidRDefault="00BA1E77" w:rsidP="00C70998">
            <w:pPr>
              <w:pStyle w:val="JRCText"/>
              <w:spacing w:before="40" w:after="40"/>
            </w:pPr>
            <w:r w:rsidRPr="00C62602">
              <w:t>Budva</w:t>
            </w:r>
          </w:p>
        </w:tc>
        <w:tc>
          <w:tcPr>
            <w:tcW w:w="3309" w:type="pct"/>
            <w:noWrap/>
            <w:vAlign w:val="center"/>
            <w:hideMark/>
          </w:tcPr>
          <w:p w14:paraId="316EABDB" w14:textId="77777777" w:rsidR="00BA1E77" w:rsidRPr="00C62602" w:rsidRDefault="00BA1E77" w:rsidP="00C70998">
            <w:pPr>
              <w:pStyle w:val="JRCText"/>
              <w:spacing w:before="40" w:after="40"/>
              <w:cnfStyle w:val="000000000000" w:firstRow="0" w:lastRow="0" w:firstColumn="0" w:lastColumn="0" w:oddVBand="0" w:evenVBand="0" w:oddHBand="0" w:evenHBand="0" w:firstRowFirstColumn="0" w:firstRowLastColumn="0" w:lastRowFirstColumn="0" w:lastRowLastColumn="0"/>
            </w:pPr>
            <w:r w:rsidRPr="00C62602">
              <w:t>3</w:t>
            </w:r>
          </w:p>
        </w:tc>
      </w:tr>
      <w:tr w:rsidR="00BA1E77" w:rsidRPr="00C62602" w14:paraId="5F242771" w14:textId="77777777" w:rsidTr="00C70998">
        <w:trPr>
          <w:trHeight w:val="300"/>
        </w:trPr>
        <w:tc>
          <w:tcPr>
            <w:cnfStyle w:val="001000000000" w:firstRow="0" w:lastRow="0" w:firstColumn="1" w:lastColumn="0" w:oddVBand="0" w:evenVBand="0" w:oddHBand="0" w:evenHBand="0" w:firstRowFirstColumn="0" w:firstRowLastColumn="0" w:lastRowFirstColumn="0" w:lastRowLastColumn="0"/>
            <w:tcW w:w="1691" w:type="pct"/>
            <w:noWrap/>
            <w:vAlign w:val="center"/>
            <w:hideMark/>
          </w:tcPr>
          <w:p w14:paraId="5BAB778D" w14:textId="77777777" w:rsidR="00BA1E77" w:rsidRPr="00C62602" w:rsidRDefault="00BA1E77" w:rsidP="00C70998">
            <w:pPr>
              <w:pStyle w:val="JRCText"/>
              <w:spacing w:before="40" w:after="40"/>
            </w:pPr>
            <w:r w:rsidRPr="00C62602">
              <w:t xml:space="preserve">Herceg </w:t>
            </w:r>
            <w:r>
              <w:t>N</w:t>
            </w:r>
            <w:r w:rsidRPr="00C62602">
              <w:t>ovi</w:t>
            </w:r>
          </w:p>
        </w:tc>
        <w:tc>
          <w:tcPr>
            <w:tcW w:w="3309" w:type="pct"/>
            <w:noWrap/>
            <w:vAlign w:val="center"/>
            <w:hideMark/>
          </w:tcPr>
          <w:p w14:paraId="5C1650BC" w14:textId="77777777" w:rsidR="00BA1E77" w:rsidRPr="00C62602" w:rsidRDefault="00BA1E77" w:rsidP="00C70998">
            <w:pPr>
              <w:pStyle w:val="JRCText"/>
              <w:spacing w:before="40" w:after="40"/>
              <w:cnfStyle w:val="000000000000" w:firstRow="0" w:lastRow="0" w:firstColumn="0" w:lastColumn="0" w:oddVBand="0" w:evenVBand="0" w:oddHBand="0" w:evenHBand="0" w:firstRowFirstColumn="0" w:firstRowLastColumn="0" w:lastRowFirstColumn="0" w:lastRowLastColumn="0"/>
            </w:pPr>
            <w:r w:rsidRPr="00C62602">
              <w:t>1</w:t>
            </w:r>
          </w:p>
        </w:tc>
      </w:tr>
      <w:tr w:rsidR="00BA1E77" w:rsidRPr="00C62602" w14:paraId="3FE26120" w14:textId="77777777" w:rsidTr="00C70998">
        <w:trPr>
          <w:trHeight w:val="300"/>
        </w:trPr>
        <w:tc>
          <w:tcPr>
            <w:cnfStyle w:val="001000000000" w:firstRow="0" w:lastRow="0" w:firstColumn="1" w:lastColumn="0" w:oddVBand="0" w:evenVBand="0" w:oddHBand="0" w:evenHBand="0" w:firstRowFirstColumn="0" w:firstRowLastColumn="0" w:lastRowFirstColumn="0" w:lastRowLastColumn="0"/>
            <w:tcW w:w="1691" w:type="pct"/>
            <w:noWrap/>
            <w:vAlign w:val="center"/>
            <w:hideMark/>
          </w:tcPr>
          <w:p w14:paraId="090A1084" w14:textId="77777777" w:rsidR="00BA1E77" w:rsidRPr="00C62602" w:rsidRDefault="00BA1E77" w:rsidP="00C70998">
            <w:pPr>
              <w:pStyle w:val="JRCText"/>
              <w:spacing w:before="40" w:after="40"/>
            </w:pPr>
            <w:r w:rsidRPr="00C62602">
              <w:t>Niksic</w:t>
            </w:r>
          </w:p>
        </w:tc>
        <w:tc>
          <w:tcPr>
            <w:tcW w:w="3309" w:type="pct"/>
            <w:noWrap/>
            <w:vAlign w:val="center"/>
            <w:hideMark/>
          </w:tcPr>
          <w:p w14:paraId="62285219" w14:textId="77777777" w:rsidR="00BA1E77" w:rsidRPr="00C62602" w:rsidRDefault="00BA1E77" w:rsidP="00C70998">
            <w:pPr>
              <w:pStyle w:val="JRCText"/>
              <w:spacing w:before="40" w:after="40"/>
              <w:cnfStyle w:val="000000000000" w:firstRow="0" w:lastRow="0" w:firstColumn="0" w:lastColumn="0" w:oddVBand="0" w:evenVBand="0" w:oddHBand="0" w:evenHBand="0" w:firstRowFirstColumn="0" w:firstRowLastColumn="0" w:lastRowFirstColumn="0" w:lastRowLastColumn="0"/>
            </w:pPr>
            <w:r w:rsidRPr="00C62602">
              <w:t>1</w:t>
            </w:r>
          </w:p>
        </w:tc>
      </w:tr>
      <w:tr w:rsidR="00BA1E77" w:rsidRPr="00C62602" w14:paraId="3C3E0558" w14:textId="77777777" w:rsidTr="00C70998">
        <w:trPr>
          <w:trHeight w:val="300"/>
        </w:trPr>
        <w:tc>
          <w:tcPr>
            <w:cnfStyle w:val="001000000000" w:firstRow="0" w:lastRow="0" w:firstColumn="1" w:lastColumn="0" w:oddVBand="0" w:evenVBand="0" w:oddHBand="0" w:evenHBand="0" w:firstRowFirstColumn="0" w:firstRowLastColumn="0" w:lastRowFirstColumn="0" w:lastRowLastColumn="0"/>
            <w:tcW w:w="1691" w:type="pct"/>
            <w:noWrap/>
            <w:vAlign w:val="center"/>
            <w:hideMark/>
          </w:tcPr>
          <w:p w14:paraId="6AB4CC82" w14:textId="77777777" w:rsidR="00BA1E77" w:rsidRPr="00C62602" w:rsidRDefault="00BA1E77" w:rsidP="00C70998">
            <w:pPr>
              <w:pStyle w:val="JRCText"/>
              <w:spacing w:before="40" w:after="40"/>
            </w:pPr>
            <w:proofErr w:type="spellStart"/>
            <w:r w:rsidRPr="00C62602">
              <w:t>Pljevlja</w:t>
            </w:r>
            <w:proofErr w:type="spellEnd"/>
          </w:p>
        </w:tc>
        <w:tc>
          <w:tcPr>
            <w:tcW w:w="3309" w:type="pct"/>
            <w:noWrap/>
            <w:vAlign w:val="center"/>
            <w:hideMark/>
          </w:tcPr>
          <w:p w14:paraId="351686CC" w14:textId="77777777" w:rsidR="00BA1E77" w:rsidRPr="00C62602" w:rsidRDefault="00BA1E77" w:rsidP="00C70998">
            <w:pPr>
              <w:pStyle w:val="JRCText"/>
              <w:spacing w:before="40" w:after="40"/>
              <w:cnfStyle w:val="000000000000" w:firstRow="0" w:lastRow="0" w:firstColumn="0" w:lastColumn="0" w:oddVBand="0" w:evenVBand="0" w:oddHBand="0" w:evenHBand="0" w:firstRowFirstColumn="0" w:firstRowLastColumn="0" w:lastRowFirstColumn="0" w:lastRowLastColumn="0"/>
            </w:pPr>
            <w:r w:rsidRPr="00C62602">
              <w:t>1</w:t>
            </w:r>
          </w:p>
        </w:tc>
      </w:tr>
      <w:tr w:rsidR="00BA1E77" w:rsidRPr="00C62602" w14:paraId="43F86D96" w14:textId="77777777" w:rsidTr="00C70998">
        <w:trPr>
          <w:trHeight w:val="300"/>
        </w:trPr>
        <w:tc>
          <w:tcPr>
            <w:cnfStyle w:val="001000000000" w:firstRow="0" w:lastRow="0" w:firstColumn="1" w:lastColumn="0" w:oddVBand="0" w:evenVBand="0" w:oddHBand="0" w:evenHBand="0" w:firstRowFirstColumn="0" w:firstRowLastColumn="0" w:lastRowFirstColumn="0" w:lastRowLastColumn="0"/>
            <w:tcW w:w="1691" w:type="pct"/>
            <w:noWrap/>
            <w:vAlign w:val="center"/>
            <w:hideMark/>
          </w:tcPr>
          <w:p w14:paraId="325FD484" w14:textId="77777777" w:rsidR="00BA1E77" w:rsidRPr="00C62602" w:rsidRDefault="00BA1E77" w:rsidP="00C70998">
            <w:pPr>
              <w:pStyle w:val="JRCText"/>
              <w:spacing w:before="40" w:after="40"/>
            </w:pPr>
            <w:r w:rsidRPr="00C62602">
              <w:t>Tivat</w:t>
            </w:r>
          </w:p>
        </w:tc>
        <w:tc>
          <w:tcPr>
            <w:tcW w:w="3309" w:type="pct"/>
            <w:noWrap/>
            <w:vAlign w:val="center"/>
            <w:hideMark/>
          </w:tcPr>
          <w:p w14:paraId="216893BD" w14:textId="77777777" w:rsidR="00BA1E77" w:rsidRPr="00C62602" w:rsidRDefault="00BA1E77" w:rsidP="00C70998">
            <w:pPr>
              <w:pStyle w:val="JRCText"/>
              <w:spacing w:before="40" w:after="40"/>
              <w:cnfStyle w:val="000000000000" w:firstRow="0" w:lastRow="0" w:firstColumn="0" w:lastColumn="0" w:oddVBand="0" w:evenVBand="0" w:oddHBand="0" w:evenHBand="0" w:firstRowFirstColumn="0" w:firstRowLastColumn="0" w:lastRowFirstColumn="0" w:lastRowLastColumn="0"/>
            </w:pPr>
            <w:r w:rsidRPr="00C62602">
              <w:t>1</w:t>
            </w:r>
          </w:p>
        </w:tc>
      </w:tr>
      <w:tr w:rsidR="00BA1E77" w:rsidRPr="00C62602" w14:paraId="6AED967F" w14:textId="77777777" w:rsidTr="00C70998">
        <w:trPr>
          <w:trHeight w:val="300"/>
        </w:trPr>
        <w:tc>
          <w:tcPr>
            <w:cnfStyle w:val="001000000000" w:firstRow="0" w:lastRow="0" w:firstColumn="1" w:lastColumn="0" w:oddVBand="0" w:evenVBand="0" w:oddHBand="0" w:evenHBand="0" w:firstRowFirstColumn="0" w:firstRowLastColumn="0" w:lastRowFirstColumn="0" w:lastRowLastColumn="0"/>
            <w:tcW w:w="1691" w:type="pct"/>
            <w:noWrap/>
            <w:vAlign w:val="center"/>
            <w:hideMark/>
          </w:tcPr>
          <w:p w14:paraId="2C90E89D" w14:textId="77777777" w:rsidR="00BA1E77" w:rsidRPr="00C62602" w:rsidRDefault="00BA1E77" w:rsidP="00C70998">
            <w:pPr>
              <w:pStyle w:val="JRCText"/>
              <w:spacing w:before="40" w:after="40"/>
            </w:pPr>
            <w:r w:rsidRPr="00C62602">
              <w:t>Ulcinj</w:t>
            </w:r>
          </w:p>
        </w:tc>
        <w:tc>
          <w:tcPr>
            <w:tcW w:w="3309" w:type="pct"/>
            <w:noWrap/>
            <w:vAlign w:val="center"/>
            <w:hideMark/>
          </w:tcPr>
          <w:p w14:paraId="4E388FB3" w14:textId="77777777" w:rsidR="00BA1E77" w:rsidRPr="00C62602" w:rsidRDefault="00BA1E77" w:rsidP="00C70998">
            <w:pPr>
              <w:pStyle w:val="JRCText"/>
              <w:spacing w:before="40" w:after="40"/>
              <w:cnfStyle w:val="000000000000" w:firstRow="0" w:lastRow="0" w:firstColumn="0" w:lastColumn="0" w:oddVBand="0" w:evenVBand="0" w:oddHBand="0" w:evenHBand="0" w:firstRowFirstColumn="0" w:firstRowLastColumn="0" w:lastRowFirstColumn="0" w:lastRowLastColumn="0"/>
            </w:pPr>
            <w:r w:rsidRPr="00C62602">
              <w:t>1</w:t>
            </w:r>
          </w:p>
        </w:tc>
      </w:tr>
      <w:tr w:rsidR="00BA1E77" w:rsidRPr="00C62602" w14:paraId="21708177" w14:textId="77777777" w:rsidTr="00C70998">
        <w:trPr>
          <w:trHeight w:val="300"/>
        </w:trPr>
        <w:tc>
          <w:tcPr>
            <w:cnfStyle w:val="001000000000" w:firstRow="0" w:lastRow="0" w:firstColumn="1" w:lastColumn="0" w:oddVBand="0" w:evenVBand="0" w:oddHBand="0" w:evenHBand="0" w:firstRowFirstColumn="0" w:firstRowLastColumn="0" w:lastRowFirstColumn="0" w:lastRowLastColumn="0"/>
            <w:tcW w:w="1691" w:type="pct"/>
            <w:noWrap/>
            <w:vAlign w:val="center"/>
            <w:hideMark/>
          </w:tcPr>
          <w:p w14:paraId="37B3897D" w14:textId="77777777" w:rsidR="00BA1E77" w:rsidRPr="00C62602" w:rsidRDefault="00BA1E77" w:rsidP="00C70998">
            <w:pPr>
              <w:pStyle w:val="JRCText"/>
              <w:spacing w:before="40" w:after="40"/>
            </w:pPr>
            <w:proofErr w:type="spellStart"/>
            <w:r w:rsidRPr="00C62602">
              <w:t>Zabljak</w:t>
            </w:r>
            <w:proofErr w:type="spellEnd"/>
          </w:p>
        </w:tc>
        <w:tc>
          <w:tcPr>
            <w:tcW w:w="3309" w:type="pct"/>
            <w:noWrap/>
            <w:vAlign w:val="center"/>
            <w:hideMark/>
          </w:tcPr>
          <w:p w14:paraId="7DAE43EB" w14:textId="77777777" w:rsidR="00BA1E77" w:rsidRPr="00C62602" w:rsidRDefault="00BA1E77" w:rsidP="00C70998">
            <w:pPr>
              <w:pStyle w:val="JRCText"/>
              <w:spacing w:before="40" w:after="40"/>
              <w:cnfStyle w:val="000000000000" w:firstRow="0" w:lastRow="0" w:firstColumn="0" w:lastColumn="0" w:oddVBand="0" w:evenVBand="0" w:oddHBand="0" w:evenHBand="0" w:firstRowFirstColumn="0" w:firstRowLastColumn="0" w:lastRowFirstColumn="0" w:lastRowLastColumn="0"/>
            </w:pPr>
            <w:r w:rsidRPr="00C62602">
              <w:t>1</w:t>
            </w:r>
          </w:p>
        </w:tc>
      </w:tr>
      <w:tr w:rsidR="00BA1E77" w:rsidRPr="00C62602" w14:paraId="12C10924" w14:textId="77777777" w:rsidTr="00C70998">
        <w:trPr>
          <w:trHeight w:val="300"/>
        </w:trPr>
        <w:tc>
          <w:tcPr>
            <w:cnfStyle w:val="001000000000" w:firstRow="0" w:lastRow="0" w:firstColumn="1" w:lastColumn="0" w:oddVBand="0" w:evenVBand="0" w:oddHBand="0" w:evenHBand="0" w:firstRowFirstColumn="0" w:firstRowLastColumn="0" w:lastRowFirstColumn="0" w:lastRowLastColumn="0"/>
            <w:tcW w:w="1691" w:type="pct"/>
            <w:noWrap/>
            <w:vAlign w:val="center"/>
            <w:hideMark/>
          </w:tcPr>
          <w:p w14:paraId="742365B4" w14:textId="77777777" w:rsidR="00BA1E77" w:rsidRPr="00C62602" w:rsidRDefault="00BA1E77" w:rsidP="00C70998">
            <w:pPr>
              <w:pStyle w:val="JRCText"/>
              <w:spacing w:before="40" w:after="40"/>
              <w:rPr>
                <w:b w:val="0"/>
                <w:bCs/>
              </w:rPr>
            </w:pPr>
            <w:r w:rsidRPr="00C62602">
              <w:rPr>
                <w:bCs/>
              </w:rPr>
              <w:t>Total</w:t>
            </w:r>
          </w:p>
        </w:tc>
        <w:tc>
          <w:tcPr>
            <w:tcW w:w="3309" w:type="pct"/>
            <w:noWrap/>
            <w:vAlign w:val="center"/>
            <w:hideMark/>
          </w:tcPr>
          <w:p w14:paraId="0D01A26E" w14:textId="77777777" w:rsidR="00BA1E77" w:rsidRPr="00C62602" w:rsidRDefault="00BA1E77" w:rsidP="00C70998">
            <w:pPr>
              <w:pStyle w:val="JRCText"/>
              <w:spacing w:before="40" w:after="40"/>
              <w:cnfStyle w:val="000000000000" w:firstRow="0" w:lastRow="0" w:firstColumn="0" w:lastColumn="0" w:oddVBand="0" w:evenVBand="0" w:oddHBand="0" w:evenHBand="0" w:firstRowFirstColumn="0" w:firstRowLastColumn="0" w:lastRowFirstColumn="0" w:lastRowLastColumn="0"/>
              <w:rPr>
                <w:bCs/>
              </w:rPr>
            </w:pPr>
            <w:r w:rsidRPr="00C62602">
              <w:rPr>
                <w:bCs/>
              </w:rPr>
              <w:t>30</w:t>
            </w:r>
          </w:p>
        </w:tc>
      </w:tr>
    </w:tbl>
    <w:p w14:paraId="12885FE1" w14:textId="77777777" w:rsidR="00BA1E77" w:rsidRPr="00DB00D1" w:rsidRDefault="00BA1E77" w:rsidP="00BA1E77">
      <w:pPr>
        <w:pStyle w:val="JRCTablesource"/>
      </w:pPr>
      <w:r w:rsidRPr="00DB00D1">
        <w:rPr>
          <w:iCs/>
        </w:rPr>
        <w:t>Source:</w:t>
      </w:r>
      <w:r w:rsidRPr="00DB00D1">
        <w:t xml:space="preserve"> ORBIS– data extracted in September 2024</w:t>
      </w:r>
    </w:p>
    <w:p w14:paraId="14D2FE40" w14:textId="77777777" w:rsidR="00BA1E77" w:rsidRPr="00DB00D1" w:rsidRDefault="00BA1E77" w:rsidP="00BA1E77"/>
    <w:p w14:paraId="7D70A9F9" w14:textId="77777777" w:rsidR="00BA1E77" w:rsidRPr="00DB00D1" w:rsidRDefault="00BA1E77" w:rsidP="00BA1E77">
      <w:pPr>
        <w:pStyle w:val="JRCLevel-3title"/>
      </w:pPr>
      <w:bookmarkStart w:id="82" w:name="_Toc221016435"/>
      <w:r w:rsidRPr="00DB00D1">
        <w:lastRenderedPageBreak/>
        <w:t>Digitalisation</w:t>
      </w:r>
      <w:bookmarkEnd w:id="82"/>
    </w:p>
    <w:p w14:paraId="6635B5A8" w14:textId="77777777" w:rsidR="00BA1E77" w:rsidRPr="00655B01" w:rsidRDefault="00BA1E77" w:rsidP="00BA1E77">
      <w:pPr>
        <w:pStyle w:val="JRCText"/>
      </w:pPr>
      <w:r w:rsidRPr="00655B01">
        <w:t>In the initial phase of analysis, it is essential to emphasise that in the aftermath of the COVID-19 pandemic, Montenegro has made substantial advancements in its digitalisation strategy. Notably, these developments pertain to network enhancement, particularly in the deployment of 5G technology, as well as the digital transformation of businesses, representing both critical areas for supporting economic growth (OECD, 2024).</w:t>
      </w:r>
    </w:p>
    <w:p w14:paraId="3586E624" w14:textId="77777777" w:rsidR="00BA1E77" w:rsidRPr="00655B01" w:rsidRDefault="00BA1E77" w:rsidP="00BA1E77">
      <w:pPr>
        <w:pStyle w:val="JRCText"/>
      </w:pPr>
      <w:r w:rsidRPr="00655B01">
        <w:t xml:space="preserve">Despite the significance of the digital economy, quantifying the level of digitalisation among firms, regions, and countries proves to be surprisingly complex. The lack of micro-level data specific to digital economy statistics, such as investments in ICT, the export of digital goods and services, or digital capabilities, complicates this mapping process. Consequently, there is a lack of data-driven tools capable of monitoring the evolution of this phenomenon. Recently, websites have been proposed as a proxy to assess the digital readiness of businesses, given the abundant yet unstructured information that is readily available and updated, allowing for a customisable and unobtrusive data-gathering process (Kinne and </w:t>
      </w:r>
      <w:proofErr w:type="spellStart"/>
      <w:r w:rsidRPr="00655B01">
        <w:t>Axenbeck</w:t>
      </w:r>
      <w:proofErr w:type="spellEnd"/>
      <w:r w:rsidRPr="00655B01">
        <w:t>, 2020; Mazzoni et al., 2024). For the purposes of this report, we rely on information on the presence or absence of a website for each firm in the ORBIS database headquartered in Montenegro, calculating the percentage of firms by cohort and industry.</w:t>
      </w:r>
    </w:p>
    <w:p w14:paraId="1337D370" w14:textId="77777777" w:rsidR="00BA1E77" w:rsidRPr="00655B01" w:rsidRDefault="00BA1E77" w:rsidP="00BA1E77">
      <w:pPr>
        <w:pStyle w:val="JRCText"/>
      </w:pPr>
      <w:r w:rsidRPr="00655B01">
        <w:t xml:space="preserve">Figure </w:t>
      </w:r>
      <w:r>
        <w:t>22</w:t>
      </w:r>
      <w:r w:rsidRPr="00655B01">
        <w:t xml:space="preserve"> depicts the percentage of website adoption among firms according to their birth cohort. The adoption curve peaks within the </w:t>
      </w:r>
      <w:proofErr w:type="gramStart"/>
      <w:r w:rsidRPr="00655B01">
        <w:t>5-10 year-old</w:t>
      </w:r>
      <w:proofErr w:type="gramEnd"/>
      <w:r w:rsidRPr="00655B01">
        <w:t xml:space="preserve"> cohort at 50%, but swiftly declines for newer ventures (those less than 10 years old). This trend is consistent with existing literature on digitalisation and website adoption, which suggests that the costs associated with establishing and maintaining a website are seen as an investment that many startups are reluctant to make, especially due to their liability of newness as they first seek to validate market demand for their products or services.</w:t>
      </w:r>
    </w:p>
    <w:p w14:paraId="5FB739CA" w14:textId="77777777" w:rsidR="00BA1E77" w:rsidRPr="00DB00D1" w:rsidRDefault="00BA1E77" w:rsidP="00BA1E77">
      <w:pPr>
        <w:pStyle w:val="JRCFigurecaption"/>
      </w:pPr>
      <w:bookmarkStart w:id="83" w:name="_Toc220939018"/>
      <w:bookmarkStart w:id="84" w:name="_Toc221271701"/>
      <w:r w:rsidRPr="000E2296">
        <w:rPr>
          <w:b/>
          <w:bCs/>
        </w:rPr>
        <w:t xml:space="preserve">Figure </w:t>
      </w:r>
      <w:r w:rsidRPr="000E2296">
        <w:rPr>
          <w:b/>
          <w:bCs/>
        </w:rPr>
        <w:fldChar w:fldCharType="begin"/>
      </w:r>
      <w:r w:rsidRPr="000E2296">
        <w:rPr>
          <w:b/>
          <w:bCs/>
        </w:rPr>
        <w:instrText xml:space="preserve"> SEQ Figure \* ARABIC </w:instrText>
      </w:r>
      <w:r w:rsidRPr="000E2296">
        <w:rPr>
          <w:b/>
          <w:bCs/>
        </w:rPr>
        <w:fldChar w:fldCharType="separate"/>
      </w:r>
      <w:r>
        <w:rPr>
          <w:b/>
          <w:bCs/>
          <w:noProof/>
        </w:rPr>
        <w:t>22</w:t>
      </w:r>
      <w:r w:rsidRPr="000E2296">
        <w:rPr>
          <w:b/>
          <w:bCs/>
        </w:rPr>
        <w:fldChar w:fldCharType="end"/>
      </w:r>
      <w:r>
        <w:rPr>
          <w:b/>
          <w:bCs/>
        </w:rPr>
        <w:t>.</w:t>
      </w:r>
      <w:r w:rsidRPr="00DB00D1">
        <w:t xml:space="preserve"> Percentage of firms with a </w:t>
      </w:r>
      <w:r w:rsidRPr="00F92E31">
        <w:rPr>
          <w:szCs w:val="20"/>
        </w:rPr>
        <w:t>website</w:t>
      </w:r>
      <w:r w:rsidRPr="00DB00D1">
        <w:t xml:space="preserve"> – considering year of birth</w:t>
      </w:r>
      <w:bookmarkEnd w:id="83"/>
      <w:bookmarkEnd w:id="84"/>
    </w:p>
    <w:p w14:paraId="1330ECE0" w14:textId="77777777" w:rsidR="00BA1E77" w:rsidRPr="00DB00D1" w:rsidRDefault="00BA1E77" w:rsidP="00BA1E77">
      <w:pPr>
        <w:pStyle w:val="JRCFigureplaceholder"/>
      </w:pPr>
      <w:r w:rsidRPr="007E747C">
        <w:rPr>
          <w:noProof/>
        </w:rPr>
        <w:drawing>
          <wp:inline distT="0" distB="0" distL="0" distR="0" wp14:anchorId="12240F79" wp14:editId="0C725001">
            <wp:extent cx="6120000" cy="2362200"/>
            <wp:effectExtent l="0" t="0" r="14605" b="12700"/>
            <wp:docPr id="1729309755" name="Grafico 1">
              <a:extLst xmlns:a="http://schemas.openxmlformats.org/drawingml/2006/main">
                <a:ext uri="{FF2B5EF4-FFF2-40B4-BE49-F238E27FC236}">
                  <a16:creationId xmlns:a16="http://schemas.microsoft.com/office/drawing/2014/main" id="{5FFEF284-CBAB-165D-6FBF-D88D2EDB3C7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14:paraId="56FC15D4" w14:textId="77777777" w:rsidR="00BA1E77" w:rsidRPr="00DB00D1" w:rsidRDefault="00BA1E77" w:rsidP="00BA1E77">
      <w:pPr>
        <w:pStyle w:val="JRCFiguresource"/>
      </w:pPr>
      <w:r w:rsidRPr="007E747C">
        <w:rPr>
          <w:b/>
          <w:bCs/>
          <w:iCs/>
        </w:rPr>
        <w:t>Source:</w:t>
      </w:r>
      <w:r w:rsidRPr="00DB00D1">
        <w:t xml:space="preserve"> ORBIS– data extracted </w:t>
      </w:r>
      <w:r>
        <w:t>i</w:t>
      </w:r>
      <w:r w:rsidRPr="00DB00D1">
        <w:t>n September 2024</w:t>
      </w:r>
    </w:p>
    <w:p w14:paraId="1FDE58A8" w14:textId="77777777" w:rsidR="00BA1E77" w:rsidRPr="00655B01" w:rsidRDefault="00BA1E77" w:rsidP="00BA1E77">
      <w:pPr>
        <w:pStyle w:val="JRCText"/>
      </w:pPr>
      <w:r w:rsidRPr="00655B01">
        <w:t xml:space="preserve">When examining various industries, Architectural and Engineering Activities along with Related Technical Consultancy (NACE code 711) and Hotels and Similar Accommodation (NACE code 551) emerge as the sectors with the highest percentage of firms having websites, each at 44%. They are followed by the Retail Sale of Other Goods in Specialised Stores (NACE code 477), in which 37% of firms are equipped with a website (Figure </w:t>
      </w:r>
      <w:r>
        <w:t>23</w:t>
      </w:r>
      <w:r w:rsidRPr="00655B01">
        <w:t>).</w:t>
      </w:r>
    </w:p>
    <w:p w14:paraId="2FFBFB6D" w14:textId="77777777" w:rsidR="00BA1E77" w:rsidRPr="00DB00D1" w:rsidRDefault="00BA1E77" w:rsidP="00BA1E77">
      <w:pPr>
        <w:pStyle w:val="JRCFigurecaption"/>
      </w:pPr>
      <w:bookmarkStart w:id="85" w:name="_Toc220939019"/>
      <w:bookmarkStart w:id="86" w:name="_Toc221271702"/>
      <w:r w:rsidRPr="000E2296">
        <w:rPr>
          <w:b/>
          <w:bCs/>
        </w:rPr>
        <w:lastRenderedPageBreak/>
        <w:t xml:space="preserve">Figure </w:t>
      </w:r>
      <w:r w:rsidRPr="000E2296">
        <w:rPr>
          <w:b/>
          <w:bCs/>
        </w:rPr>
        <w:fldChar w:fldCharType="begin"/>
      </w:r>
      <w:r w:rsidRPr="000E2296">
        <w:rPr>
          <w:b/>
          <w:bCs/>
        </w:rPr>
        <w:instrText xml:space="preserve"> SEQ Figure \* ARABIC </w:instrText>
      </w:r>
      <w:r w:rsidRPr="000E2296">
        <w:rPr>
          <w:b/>
          <w:bCs/>
        </w:rPr>
        <w:fldChar w:fldCharType="separate"/>
      </w:r>
      <w:r>
        <w:rPr>
          <w:b/>
          <w:bCs/>
          <w:noProof/>
        </w:rPr>
        <w:t>23</w:t>
      </w:r>
      <w:r w:rsidRPr="000E2296">
        <w:rPr>
          <w:b/>
          <w:bCs/>
        </w:rPr>
        <w:fldChar w:fldCharType="end"/>
      </w:r>
      <w:r>
        <w:rPr>
          <w:b/>
          <w:bCs/>
        </w:rPr>
        <w:t>.</w:t>
      </w:r>
      <w:r w:rsidRPr="00DB00D1">
        <w:t xml:space="preserve"> Most dynamic industrial sectors in terms of websites</w:t>
      </w:r>
      <w:bookmarkEnd w:id="85"/>
      <w:bookmarkEnd w:id="86"/>
    </w:p>
    <w:p w14:paraId="70E948A1" w14:textId="77777777" w:rsidR="00BA1E77" w:rsidRPr="00DB00D1" w:rsidRDefault="00BA1E77" w:rsidP="00BA1E77">
      <w:pPr>
        <w:pStyle w:val="JRCFigureplaceholder"/>
      </w:pPr>
      <w:r w:rsidRPr="00DB00D1">
        <w:rPr>
          <w:noProof/>
        </w:rPr>
        <w:drawing>
          <wp:inline distT="0" distB="0" distL="0" distR="0" wp14:anchorId="1873EEF0" wp14:editId="32A225FC">
            <wp:extent cx="6120000" cy="3028950"/>
            <wp:effectExtent l="0" t="0" r="14605" b="6350"/>
            <wp:docPr id="495131825" name="Grafico 1">
              <a:extLst xmlns:a="http://schemas.openxmlformats.org/drawingml/2006/main">
                <a:ext uri="{FF2B5EF4-FFF2-40B4-BE49-F238E27FC236}">
                  <a16:creationId xmlns:a16="http://schemas.microsoft.com/office/drawing/2014/main" id="{A7CBF88D-6919-E191-8752-23FAFF570E1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14:paraId="409445FE" w14:textId="77777777" w:rsidR="00BA1E77" w:rsidRPr="00DB00D1" w:rsidRDefault="00BA1E77" w:rsidP="00BA1E77">
      <w:pPr>
        <w:pStyle w:val="JRCFiguresource"/>
      </w:pPr>
      <w:r w:rsidRPr="000D29C3">
        <w:rPr>
          <w:b/>
          <w:bCs/>
          <w:iCs/>
        </w:rPr>
        <w:t>Source:</w:t>
      </w:r>
      <w:r w:rsidRPr="00DB00D1">
        <w:t xml:space="preserve"> ORBIS– data extracted in September 2024</w:t>
      </w:r>
    </w:p>
    <w:p w14:paraId="134E04B5" w14:textId="77777777" w:rsidR="00BA1E77" w:rsidRPr="00655B01" w:rsidRDefault="00BA1E77" w:rsidP="00BA1E77">
      <w:pPr>
        <w:pStyle w:val="JRCText"/>
      </w:pPr>
      <w:r w:rsidRPr="00655B01">
        <w:t xml:space="preserve">Table 11 completes the framework showing the municipalities with the highest digital presence, considering firms with websites on the total number of firms. Although Podgorica, Budva, and Bar have the most firms with websites in absolute terms, the top three rankings are occupied by </w:t>
      </w:r>
      <w:proofErr w:type="spellStart"/>
      <w:r w:rsidRPr="00655B01">
        <w:t>Bijelo</w:t>
      </w:r>
      <w:proofErr w:type="spellEnd"/>
      <w:r w:rsidRPr="00655B01">
        <w:t xml:space="preserve"> Polje, Podgorica, and Cetinje, with 43.3%, 32.0%, and 28.8% of their respective firms having a website.</w:t>
      </w:r>
    </w:p>
    <w:p w14:paraId="331748A8" w14:textId="77777777" w:rsidR="00BA1E77" w:rsidRPr="00DB00D1" w:rsidRDefault="00BA1E77" w:rsidP="00BA1E77">
      <w:pPr>
        <w:pStyle w:val="JRCTabletitle"/>
      </w:pPr>
      <w:bookmarkStart w:id="87" w:name="_Toc220938963"/>
      <w:bookmarkStart w:id="88" w:name="_Toc221271673"/>
      <w:r w:rsidRPr="00C62602">
        <w:rPr>
          <w:b/>
          <w:bCs/>
        </w:rPr>
        <w:t xml:space="preserve">Table </w:t>
      </w:r>
      <w:r w:rsidRPr="00C62602">
        <w:rPr>
          <w:b/>
          <w:bCs/>
        </w:rPr>
        <w:fldChar w:fldCharType="begin"/>
      </w:r>
      <w:r w:rsidRPr="00C62602">
        <w:rPr>
          <w:b/>
          <w:bCs/>
        </w:rPr>
        <w:instrText xml:space="preserve"> SEQ Table \* ARABIC </w:instrText>
      </w:r>
      <w:r w:rsidRPr="00C62602">
        <w:rPr>
          <w:b/>
          <w:bCs/>
        </w:rPr>
        <w:fldChar w:fldCharType="separate"/>
      </w:r>
      <w:r>
        <w:rPr>
          <w:b/>
          <w:bCs/>
          <w:noProof/>
        </w:rPr>
        <w:t>11</w:t>
      </w:r>
      <w:r w:rsidRPr="00C62602">
        <w:rPr>
          <w:b/>
          <w:bCs/>
        </w:rPr>
        <w:fldChar w:fldCharType="end"/>
      </w:r>
      <w:r>
        <w:rPr>
          <w:b/>
          <w:bCs/>
        </w:rPr>
        <w:t>.</w:t>
      </w:r>
      <w:r w:rsidRPr="00DB00D1">
        <w:t xml:space="preserve"> Percentage of firms with a website by location</w:t>
      </w:r>
      <w:bookmarkEnd w:id="87"/>
      <w:bookmarkEnd w:id="88"/>
    </w:p>
    <w:tbl>
      <w:tblPr>
        <w:tblStyle w:val="JRCTableBasic"/>
        <w:tblW w:w="5000" w:type="pct"/>
        <w:tblLook w:val="04A0" w:firstRow="1" w:lastRow="0" w:firstColumn="1" w:lastColumn="0" w:noHBand="0" w:noVBand="1"/>
      </w:tblPr>
      <w:tblGrid>
        <w:gridCol w:w="4816"/>
        <w:gridCol w:w="4812"/>
      </w:tblGrid>
      <w:tr w:rsidR="00BA1E77" w:rsidRPr="000A50E9" w14:paraId="3D92AB9B" w14:textId="77777777" w:rsidTr="00C70998">
        <w:trPr>
          <w:cnfStyle w:val="100000000000" w:firstRow="1" w:lastRow="0" w:firstColumn="0" w:lastColumn="0" w:oddVBand="0" w:evenVBand="0" w:oddHBand="0" w:evenHBand="0" w:firstRowFirstColumn="0" w:firstRowLastColumn="0" w:lastRowFirstColumn="0" w:lastRowLastColumn="0"/>
          <w:trHeight w:val="186"/>
        </w:trPr>
        <w:tc>
          <w:tcPr>
            <w:cnfStyle w:val="001000000000" w:firstRow="0" w:lastRow="0" w:firstColumn="1" w:lastColumn="0" w:oddVBand="0" w:evenVBand="0" w:oddHBand="0" w:evenHBand="0" w:firstRowFirstColumn="0" w:firstRowLastColumn="0" w:lastRowFirstColumn="0" w:lastRowLastColumn="0"/>
            <w:tcW w:w="2501" w:type="pct"/>
            <w:noWrap/>
            <w:hideMark/>
          </w:tcPr>
          <w:p w14:paraId="1F4B11A7" w14:textId="77777777" w:rsidR="00BA1E77" w:rsidRPr="000D29C3" w:rsidRDefault="00BA1E77" w:rsidP="00C70998">
            <w:pPr>
              <w:pStyle w:val="JRCTableBoxtitle"/>
              <w:jc w:val="left"/>
              <w:rPr>
                <w:b/>
                <w:bCs/>
              </w:rPr>
            </w:pPr>
            <w:r w:rsidRPr="000D29C3">
              <w:rPr>
                <w:b/>
                <w:bCs/>
              </w:rPr>
              <w:t>Location</w:t>
            </w:r>
          </w:p>
        </w:tc>
        <w:tc>
          <w:tcPr>
            <w:tcW w:w="2499" w:type="pct"/>
            <w:noWrap/>
            <w:hideMark/>
          </w:tcPr>
          <w:p w14:paraId="1DF0E520" w14:textId="77777777" w:rsidR="00BA1E77" w:rsidRPr="000D29C3" w:rsidRDefault="00BA1E77" w:rsidP="00C70998">
            <w:pPr>
              <w:pStyle w:val="JRCTableBoxtitle"/>
              <w:jc w:val="left"/>
              <w:cnfStyle w:val="100000000000" w:firstRow="1" w:lastRow="0" w:firstColumn="0" w:lastColumn="0" w:oddVBand="0" w:evenVBand="0" w:oddHBand="0" w:evenHBand="0" w:firstRowFirstColumn="0" w:firstRowLastColumn="0" w:lastRowFirstColumn="0" w:lastRowLastColumn="0"/>
              <w:rPr>
                <w:b/>
                <w:bCs/>
              </w:rPr>
            </w:pPr>
            <w:r w:rsidRPr="000D29C3">
              <w:rPr>
                <w:b/>
                <w:bCs/>
              </w:rPr>
              <w:t>Percentage</w:t>
            </w:r>
          </w:p>
        </w:tc>
      </w:tr>
      <w:tr w:rsidR="00BA1E77" w:rsidRPr="000A50E9" w14:paraId="3B2A2FF1" w14:textId="77777777" w:rsidTr="00C70998">
        <w:trPr>
          <w:trHeight w:val="245"/>
        </w:trPr>
        <w:tc>
          <w:tcPr>
            <w:cnfStyle w:val="001000000000" w:firstRow="0" w:lastRow="0" w:firstColumn="1" w:lastColumn="0" w:oddVBand="0" w:evenVBand="0" w:oddHBand="0" w:evenHBand="0" w:firstRowFirstColumn="0" w:firstRowLastColumn="0" w:lastRowFirstColumn="0" w:lastRowLastColumn="0"/>
            <w:tcW w:w="2501" w:type="pct"/>
            <w:noWrap/>
            <w:hideMark/>
          </w:tcPr>
          <w:p w14:paraId="3ECE2EE1" w14:textId="77777777" w:rsidR="00BA1E77" w:rsidRPr="000A50E9" w:rsidRDefault="00BA1E77" w:rsidP="00C70998">
            <w:pPr>
              <w:pStyle w:val="JRCTabletext10pt"/>
            </w:pPr>
            <w:proofErr w:type="spellStart"/>
            <w:r w:rsidRPr="000A50E9">
              <w:t>Bijelo</w:t>
            </w:r>
            <w:proofErr w:type="spellEnd"/>
            <w:r w:rsidRPr="000A50E9">
              <w:t xml:space="preserve"> </w:t>
            </w:r>
            <w:r>
              <w:t>P</w:t>
            </w:r>
            <w:r w:rsidRPr="000A50E9">
              <w:t>olje</w:t>
            </w:r>
          </w:p>
        </w:tc>
        <w:tc>
          <w:tcPr>
            <w:tcW w:w="2499" w:type="pct"/>
            <w:noWrap/>
            <w:hideMark/>
          </w:tcPr>
          <w:p w14:paraId="06E931DA" w14:textId="77777777" w:rsidR="00BA1E77" w:rsidRPr="000A50E9"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0A50E9">
              <w:t>43,3%</w:t>
            </w:r>
          </w:p>
        </w:tc>
      </w:tr>
      <w:tr w:rsidR="00BA1E77" w:rsidRPr="000A50E9" w14:paraId="3AE05185" w14:textId="77777777" w:rsidTr="00C70998">
        <w:trPr>
          <w:trHeight w:val="245"/>
        </w:trPr>
        <w:tc>
          <w:tcPr>
            <w:cnfStyle w:val="001000000000" w:firstRow="0" w:lastRow="0" w:firstColumn="1" w:lastColumn="0" w:oddVBand="0" w:evenVBand="0" w:oddHBand="0" w:evenHBand="0" w:firstRowFirstColumn="0" w:firstRowLastColumn="0" w:lastRowFirstColumn="0" w:lastRowLastColumn="0"/>
            <w:tcW w:w="2501" w:type="pct"/>
            <w:noWrap/>
            <w:hideMark/>
          </w:tcPr>
          <w:p w14:paraId="5C7E0FC9" w14:textId="77777777" w:rsidR="00BA1E77" w:rsidRPr="000A50E9" w:rsidRDefault="00BA1E77" w:rsidP="00C70998">
            <w:pPr>
              <w:pStyle w:val="JRCTabletext10pt"/>
            </w:pPr>
            <w:r w:rsidRPr="000A50E9">
              <w:t>Podgorica</w:t>
            </w:r>
          </w:p>
        </w:tc>
        <w:tc>
          <w:tcPr>
            <w:tcW w:w="2499" w:type="pct"/>
            <w:noWrap/>
            <w:hideMark/>
          </w:tcPr>
          <w:p w14:paraId="6B3066B0" w14:textId="77777777" w:rsidR="00BA1E77" w:rsidRPr="000A50E9"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0A50E9">
              <w:t>32,0%</w:t>
            </w:r>
          </w:p>
        </w:tc>
      </w:tr>
      <w:tr w:rsidR="00BA1E77" w:rsidRPr="000A50E9" w14:paraId="4CAE3EBD" w14:textId="77777777" w:rsidTr="00C70998">
        <w:trPr>
          <w:trHeight w:val="245"/>
        </w:trPr>
        <w:tc>
          <w:tcPr>
            <w:cnfStyle w:val="001000000000" w:firstRow="0" w:lastRow="0" w:firstColumn="1" w:lastColumn="0" w:oddVBand="0" w:evenVBand="0" w:oddHBand="0" w:evenHBand="0" w:firstRowFirstColumn="0" w:firstRowLastColumn="0" w:lastRowFirstColumn="0" w:lastRowLastColumn="0"/>
            <w:tcW w:w="2501" w:type="pct"/>
            <w:noWrap/>
            <w:hideMark/>
          </w:tcPr>
          <w:p w14:paraId="4AA41E3A" w14:textId="77777777" w:rsidR="00BA1E77" w:rsidRPr="000A50E9" w:rsidRDefault="00BA1E77" w:rsidP="00C70998">
            <w:pPr>
              <w:pStyle w:val="JRCTabletext10pt"/>
            </w:pPr>
            <w:r w:rsidRPr="000A50E9">
              <w:t>Cetinje</w:t>
            </w:r>
          </w:p>
        </w:tc>
        <w:tc>
          <w:tcPr>
            <w:tcW w:w="2499" w:type="pct"/>
            <w:noWrap/>
            <w:hideMark/>
          </w:tcPr>
          <w:p w14:paraId="152878C8" w14:textId="77777777" w:rsidR="00BA1E77" w:rsidRPr="000A50E9"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0A50E9">
              <w:t>28,8%</w:t>
            </w:r>
          </w:p>
        </w:tc>
      </w:tr>
      <w:tr w:rsidR="00BA1E77" w:rsidRPr="000A50E9" w14:paraId="4D5E91AA" w14:textId="77777777" w:rsidTr="00C70998">
        <w:trPr>
          <w:trHeight w:val="245"/>
        </w:trPr>
        <w:tc>
          <w:tcPr>
            <w:cnfStyle w:val="001000000000" w:firstRow="0" w:lastRow="0" w:firstColumn="1" w:lastColumn="0" w:oddVBand="0" w:evenVBand="0" w:oddHBand="0" w:evenHBand="0" w:firstRowFirstColumn="0" w:firstRowLastColumn="0" w:lastRowFirstColumn="0" w:lastRowLastColumn="0"/>
            <w:tcW w:w="2501" w:type="pct"/>
            <w:noWrap/>
            <w:hideMark/>
          </w:tcPr>
          <w:p w14:paraId="53A9A756" w14:textId="77777777" w:rsidR="00BA1E77" w:rsidRPr="000A50E9" w:rsidRDefault="00BA1E77" w:rsidP="00C70998">
            <w:pPr>
              <w:pStyle w:val="JRCTabletext10pt"/>
            </w:pPr>
            <w:proofErr w:type="spellStart"/>
            <w:r w:rsidRPr="000A50E9">
              <w:t>Pljevlja</w:t>
            </w:r>
            <w:proofErr w:type="spellEnd"/>
          </w:p>
        </w:tc>
        <w:tc>
          <w:tcPr>
            <w:tcW w:w="2499" w:type="pct"/>
            <w:noWrap/>
            <w:hideMark/>
          </w:tcPr>
          <w:p w14:paraId="2E855D71" w14:textId="77777777" w:rsidR="00BA1E77" w:rsidRPr="000A50E9"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0A50E9">
              <w:t>28,5%</w:t>
            </w:r>
          </w:p>
        </w:tc>
      </w:tr>
      <w:tr w:rsidR="00BA1E77" w:rsidRPr="000A50E9" w14:paraId="20074472" w14:textId="77777777" w:rsidTr="00C70998">
        <w:trPr>
          <w:trHeight w:val="245"/>
        </w:trPr>
        <w:tc>
          <w:tcPr>
            <w:cnfStyle w:val="001000000000" w:firstRow="0" w:lastRow="0" w:firstColumn="1" w:lastColumn="0" w:oddVBand="0" w:evenVBand="0" w:oddHBand="0" w:evenHBand="0" w:firstRowFirstColumn="0" w:firstRowLastColumn="0" w:lastRowFirstColumn="0" w:lastRowLastColumn="0"/>
            <w:tcW w:w="2501" w:type="pct"/>
            <w:noWrap/>
            <w:hideMark/>
          </w:tcPr>
          <w:p w14:paraId="400709E3" w14:textId="77777777" w:rsidR="00BA1E77" w:rsidRPr="000A50E9" w:rsidRDefault="00BA1E77" w:rsidP="00C70998">
            <w:pPr>
              <w:pStyle w:val="JRCTabletext10pt"/>
            </w:pPr>
            <w:r w:rsidRPr="000A50E9">
              <w:t>Tivat</w:t>
            </w:r>
          </w:p>
        </w:tc>
        <w:tc>
          <w:tcPr>
            <w:tcW w:w="2499" w:type="pct"/>
            <w:noWrap/>
            <w:hideMark/>
          </w:tcPr>
          <w:p w14:paraId="69132F37" w14:textId="77777777" w:rsidR="00BA1E77" w:rsidRPr="000A50E9"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0A50E9">
              <w:t>27,5%</w:t>
            </w:r>
          </w:p>
        </w:tc>
      </w:tr>
      <w:tr w:rsidR="00BA1E77" w:rsidRPr="000A50E9" w14:paraId="1ACE470D" w14:textId="77777777" w:rsidTr="00C70998">
        <w:trPr>
          <w:trHeight w:val="245"/>
        </w:trPr>
        <w:tc>
          <w:tcPr>
            <w:cnfStyle w:val="001000000000" w:firstRow="0" w:lastRow="0" w:firstColumn="1" w:lastColumn="0" w:oddVBand="0" w:evenVBand="0" w:oddHBand="0" w:evenHBand="0" w:firstRowFirstColumn="0" w:firstRowLastColumn="0" w:lastRowFirstColumn="0" w:lastRowLastColumn="0"/>
            <w:tcW w:w="2501" w:type="pct"/>
            <w:noWrap/>
            <w:hideMark/>
          </w:tcPr>
          <w:p w14:paraId="51D99FBB" w14:textId="77777777" w:rsidR="00BA1E77" w:rsidRPr="000A50E9" w:rsidRDefault="00BA1E77" w:rsidP="00C70998">
            <w:pPr>
              <w:pStyle w:val="JRCTabletext10pt"/>
            </w:pPr>
            <w:r w:rsidRPr="000A50E9">
              <w:t>Kotor</w:t>
            </w:r>
          </w:p>
        </w:tc>
        <w:tc>
          <w:tcPr>
            <w:tcW w:w="2499" w:type="pct"/>
            <w:noWrap/>
            <w:hideMark/>
          </w:tcPr>
          <w:p w14:paraId="24D1AC5E" w14:textId="77777777" w:rsidR="00BA1E77" w:rsidRPr="000A50E9"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0A50E9">
              <w:t>26,4%</w:t>
            </w:r>
          </w:p>
        </w:tc>
      </w:tr>
      <w:tr w:rsidR="00BA1E77" w:rsidRPr="000A50E9" w14:paraId="24238B94" w14:textId="77777777" w:rsidTr="00C70998">
        <w:trPr>
          <w:trHeight w:val="245"/>
        </w:trPr>
        <w:tc>
          <w:tcPr>
            <w:cnfStyle w:val="001000000000" w:firstRow="0" w:lastRow="0" w:firstColumn="1" w:lastColumn="0" w:oddVBand="0" w:evenVBand="0" w:oddHBand="0" w:evenHBand="0" w:firstRowFirstColumn="0" w:firstRowLastColumn="0" w:lastRowFirstColumn="0" w:lastRowLastColumn="0"/>
            <w:tcW w:w="2501" w:type="pct"/>
            <w:noWrap/>
            <w:hideMark/>
          </w:tcPr>
          <w:p w14:paraId="76887A56" w14:textId="77777777" w:rsidR="00BA1E77" w:rsidRPr="000A50E9" w:rsidRDefault="00BA1E77" w:rsidP="00C70998">
            <w:pPr>
              <w:pStyle w:val="JRCTabletext10pt"/>
            </w:pPr>
            <w:r w:rsidRPr="000A50E9">
              <w:t xml:space="preserve">Herceg </w:t>
            </w:r>
            <w:r>
              <w:t>N</w:t>
            </w:r>
            <w:r w:rsidRPr="000A50E9">
              <w:t>ovi</w:t>
            </w:r>
          </w:p>
        </w:tc>
        <w:tc>
          <w:tcPr>
            <w:tcW w:w="2499" w:type="pct"/>
            <w:noWrap/>
            <w:hideMark/>
          </w:tcPr>
          <w:p w14:paraId="6CCA336B" w14:textId="77777777" w:rsidR="00BA1E77" w:rsidRPr="000A50E9"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0A50E9">
              <w:t>26,2%</w:t>
            </w:r>
          </w:p>
        </w:tc>
      </w:tr>
      <w:tr w:rsidR="00BA1E77" w:rsidRPr="000A50E9" w14:paraId="1F7A81B3" w14:textId="77777777" w:rsidTr="00C70998">
        <w:trPr>
          <w:trHeight w:val="245"/>
        </w:trPr>
        <w:tc>
          <w:tcPr>
            <w:cnfStyle w:val="001000000000" w:firstRow="0" w:lastRow="0" w:firstColumn="1" w:lastColumn="0" w:oddVBand="0" w:evenVBand="0" w:oddHBand="0" w:evenHBand="0" w:firstRowFirstColumn="0" w:firstRowLastColumn="0" w:lastRowFirstColumn="0" w:lastRowLastColumn="0"/>
            <w:tcW w:w="2501" w:type="pct"/>
            <w:noWrap/>
            <w:hideMark/>
          </w:tcPr>
          <w:p w14:paraId="02AE826A" w14:textId="77777777" w:rsidR="00BA1E77" w:rsidRPr="000A50E9" w:rsidRDefault="00BA1E77" w:rsidP="00C70998">
            <w:pPr>
              <w:pStyle w:val="JRCTabletext10pt"/>
            </w:pPr>
            <w:proofErr w:type="spellStart"/>
            <w:r w:rsidRPr="000A50E9">
              <w:t>Rozaje</w:t>
            </w:r>
            <w:proofErr w:type="spellEnd"/>
          </w:p>
        </w:tc>
        <w:tc>
          <w:tcPr>
            <w:tcW w:w="2499" w:type="pct"/>
            <w:noWrap/>
            <w:hideMark/>
          </w:tcPr>
          <w:p w14:paraId="7BCDC138" w14:textId="77777777" w:rsidR="00BA1E77" w:rsidRPr="000A50E9"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0A50E9">
              <w:t>24,3%</w:t>
            </w:r>
          </w:p>
        </w:tc>
      </w:tr>
      <w:tr w:rsidR="00BA1E77" w:rsidRPr="000A50E9" w14:paraId="4434C02C" w14:textId="77777777" w:rsidTr="00C70998">
        <w:trPr>
          <w:trHeight w:val="245"/>
        </w:trPr>
        <w:tc>
          <w:tcPr>
            <w:cnfStyle w:val="001000000000" w:firstRow="0" w:lastRow="0" w:firstColumn="1" w:lastColumn="0" w:oddVBand="0" w:evenVBand="0" w:oddHBand="0" w:evenHBand="0" w:firstRowFirstColumn="0" w:firstRowLastColumn="0" w:lastRowFirstColumn="0" w:lastRowLastColumn="0"/>
            <w:tcW w:w="2501" w:type="pct"/>
            <w:noWrap/>
            <w:hideMark/>
          </w:tcPr>
          <w:p w14:paraId="39CE8047" w14:textId="77777777" w:rsidR="00BA1E77" w:rsidRPr="000A50E9" w:rsidRDefault="00BA1E77" w:rsidP="00C70998">
            <w:pPr>
              <w:pStyle w:val="JRCTabletext10pt"/>
            </w:pPr>
            <w:r w:rsidRPr="000A50E9">
              <w:t>Niksic</w:t>
            </w:r>
          </w:p>
        </w:tc>
        <w:tc>
          <w:tcPr>
            <w:tcW w:w="2499" w:type="pct"/>
            <w:noWrap/>
            <w:hideMark/>
          </w:tcPr>
          <w:p w14:paraId="421BEBE0" w14:textId="77777777" w:rsidR="00BA1E77" w:rsidRPr="000A50E9"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0A50E9">
              <w:t>22,6%</w:t>
            </w:r>
          </w:p>
        </w:tc>
      </w:tr>
      <w:tr w:rsidR="00BA1E77" w:rsidRPr="000A50E9" w14:paraId="6E932B80" w14:textId="77777777" w:rsidTr="00C70998">
        <w:trPr>
          <w:trHeight w:val="245"/>
        </w:trPr>
        <w:tc>
          <w:tcPr>
            <w:cnfStyle w:val="001000000000" w:firstRow="0" w:lastRow="0" w:firstColumn="1" w:lastColumn="0" w:oddVBand="0" w:evenVBand="0" w:oddHBand="0" w:evenHBand="0" w:firstRowFirstColumn="0" w:firstRowLastColumn="0" w:lastRowFirstColumn="0" w:lastRowLastColumn="0"/>
            <w:tcW w:w="2501" w:type="pct"/>
            <w:noWrap/>
            <w:hideMark/>
          </w:tcPr>
          <w:p w14:paraId="36BD42FC" w14:textId="77777777" w:rsidR="00BA1E77" w:rsidRPr="000A50E9" w:rsidRDefault="00BA1E77" w:rsidP="00C70998">
            <w:pPr>
              <w:pStyle w:val="JRCTabletext10pt"/>
            </w:pPr>
            <w:proofErr w:type="spellStart"/>
            <w:r w:rsidRPr="000A50E9">
              <w:t>Berane</w:t>
            </w:r>
            <w:proofErr w:type="spellEnd"/>
          </w:p>
        </w:tc>
        <w:tc>
          <w:tcPr>
            <w:tcW w:w="2499" w:type="pct"/>
            <w:noWrap/>
            <w:hideMark/>
          </w:tcPr>
          <w:p w14:paraId="15BF7FB6" w14:textId="77777777" w:rsidR="00BA1E77" w:rsidRPr="000A50E9"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0A50E9">
              <w:t>20,8%</w:t>
            </w:r>
          </w:p>
        </w:tc>
      </w:tr>
      <w:tr w:rsidR="00BA1E77" w:rsidRPr="000A50E9" w14:paraId="2F00C2CB" w14:textId="77777777" w:rsidTr="00C70998">
        <w:trPr>
          <w:trHeight w:val="245"/>
        </w:trPr>
        <w:tc>
          <w:tcPr>
            <w:cnfStyle w:val="001000000000" w:firstRow="0" w:lastRow="0" w:firstColumn="1" w:lastColumn="0" w:oddVBand="0" w:evenVBand="0" w:oddHBand="0" w:evenHBand="0" w:firstRowFirstColumn="0" w:firstRowLastColumn="0" w:lastRowFirstColumn="0" w:lastRowLastColumn="0"/>
            <w:tcW w:w="2501" w:type="pct"/>
            <w:noWrap/>
            <w:hideMark/>
          </w:tcPr>
          <w:p w14:paraId="1EF8CB28" w14:textId="77777777" w:rsidR="00BA1E77" w:rsidRPr="000A50E9" w:rsidRDefault="00BA1E77" w:rsidP="00C70998">
            <w:pPr>
              <w:pStyle w:val="JRCTabletext10pt"/>
            </w:pPr>
            <w:r w:rsidRPr="000A50E9">
              <w:t>Budva</w:t>
            </w:r>
          </w:p>
        </w:tc>
        <w:tc>
          <w:tcPr>
            <w:tcW w:w="2499" w:type="pct"/>
            <w:noWrap/>
            <w:hideMark/>
          </w:tcPr>
          <w:p w14:paraId="49968889" w14:textId="77777777" w:rsidR="00BA1E77" w:rsidRPr="000A50E9"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0A50E9">
              <w:t>19,5%</w:t>
            </w:r>
          </w:p>
        </w:tc>
      </w:tr>
      <w:tr w:rsidR="00BA1E77" w:rsidRPr="000A50E9" w14:paraId="2E268932" w14:textId="77777777" w:rsidTr="00C70998">
        <w:trPr>
          <w:trHeight w:val="245"/>
        </w:trPr>
        <w:tc>
          <w:tcPr>
            <w:cnfStyle w:val="001000000000" w:firstRow="0" w:lastRow="0" w:firstColumn="1" w:lastColumn="0" w:oddVBand="0" w:evenVBand="0" w:oddHBand="0" w:evenHBand="0" w:firstRowFirstColumn="0" w:firstRowLastColumn="0" w:lastRowFirstColumn="0" w:lastRowLastColumn="0"/>
            <w:tcW w:w="2501" w:type="pct"/>
            <w:noWrap/>
            <w:hideMark/>
          </w:tcPr>
          <w:p w14:paraId="4B3DA31D" w14:textId="77777777" w:rsidR="00BA1E77" w:rsidRPr="000A50E9" w:rsidRDefault="00BA1E77" w:rsidP="00C70998">
            <w:pPr>
              <w:pStyle w:val="JRCTabletext10pt"/>
            </w:pPr>
            <w:r w:rsidRPr="000A50E9">
              <w:t>Bar</w:t>
            </w:r>
          </w:p>
        </w:tc>
        <w:tc>
          <w:tcPr>
            <w:tcW w:w="2499" w:type="pct"/>
            <w:noWrap/>
            <w:hideMark/>
          </w:tcPr>
          <w:p w14:paraId="16A76050" w14:textId="77777777" w:rsidR="00BA1E77" w:rsidRPr="000A50E9"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0A50E9">
              <w:t>18,4%</w:t>
            </w:r>
          </w:p>
        </w:tc>
      </w:tr>
      <w:tr w:rsidR="00BA1E77" w:rsidRPr="000A50E9" w14:paraId="34612A6D" w14:textId="77777777" w:rsidTr="00C70998">
        <w:trPr>
          <w:trHeight w:val="245"/>
        </w:trPr>
        <w:tc>
          <w:tcPr>
            <w:cnfStyle w:val="001000000000" w:firstRow="0" w:lastRow="0" w:firstColumn="1" w:lastColumn="0" w:oddVBand="0" w:evenVBand="0" w:oddHBand="0" w:evenHBand="0" w:firstRowFirstColumn="0" w:firstRowLastColumn="0" w:lastRowFirstColumn="0" w:lastRowLastColumn="0"/>
            <w:tcW w:w="2501" w:type="pct"/>
            <w:noWrap/>
            <w:hideMark/>
          </w:tcPr>
          <w:p w14:paraId="176A1C7B" w14:textId="77777777" w:rsidR="00BA1E77" w:rsidRPr="000A50E9" w:rsidRDefault="00BA1E77" w:rsidP="00C70998">
            <w:pPr>
              <w:pStyle w:val="JRCTabletext10pt"/>
            </w:pPr>
            <w:r w:rsidRPr="000A50E9">
              <w:t>Ulcinj</w:t>
            </w:r>
          </w:p>
        </w:tc>
        <w:tc>
          <w:tcPr>
            <w:tcW w:w="2499" w:type="pct"/>
            <w:noWrap/>
            <w:hideMark/>
          </w:tcPr>
          <w:p w14:paraId="5CD361F0" w14:textId="77777777" w:rsidR="00BA1E77" w:rsidRPr="000A50E9"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0A50E9">
              <w:t>10,9%</w:t>
            </w:r>
          </w:p>
        </w:tc>
      </w:tr>
      <w:tr w:rsidR="00BA1E77" w:rsidRPr="000A50E9" w14:paraId="74C7B695" w14:textId="77777777" w:rsidTr="00C70998">
        <w:trPr>
          <w:trHeight w:val="49"/>
        </w:trPr>
        <w:tc>
          <w:tcPr>
            <w:cnfStyle w:val="001000000000" w:firstRow="0" w:lastRow="0" w:firstColumn="1" w:lastColumn="0" w:oddVBand="0" w:evenVBand="0" w:oddHBand="0" w:evenHBand="0" w:firstRowFirstColumn="0" w:firstRowLastColumn="0" w:lastRowFirstColumn="0" w:lastRowLastColumn="0"/>
            <w:tcW w:w="2501" w:type="pct"/>
            <w:noWrap/>
            <w:hideMark/>
          </w:tcPr>
          <w:p w14:paraId="0EA56334" w14:textId="77777777" w:rsidR="00BA1E77" w:rsidRPr="000A50E9" w:rsidRDefault="00BA1E77" w:rsidP="00C70998">
            <w:pPr>
              <w:pStyle w:val="JRCTabletext10pt"/>
            </w:pPr>
            <w:r w:rsidRPr="000A50E9">
              <w:t>Total</w:t>
            </w:r>
          </w:p>
        </w:tc>
        <w:tc>
          <w:tcPr>
            <w:tcW w:w="2499" w:type="pct"/>
            <w:noWrap/>
            <w:hideMark/>
          </w:tcPr>
          <w:p w14:paraId="79DB7FEE" w14:textId="77777777" w:rsidR="00BA1E77" w:rsidRPr="000A50E9"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0A50E9">
              <w:t>25,7%</w:t>
            </w:r>
          </w:p>
        </w:tc>
      </w:tr>
    </w:tbl>
    <w:p w14:paraId="2CB46C57" w14:textId="77777777" w:rsidR="00BA1E77" w:rsidRPr="00C23F86" w:rsidRDefault="00BA1E77" w:rsidP="00BA1E77">
      <w:pPr>
        <w:pStyle w:val="JRCTablesource"/>
      </w:pPr>
      <w:r w:rsidRPr="005D4D14">
        <w:rPr>
          <w:b/>
          <w:bCs/>
        </w:rPr>
        <w:t>Source:</w:t>
      </w:r>
      <w:r w:rsidRPr="00C23F86">
        <w:t xml:space="preserve"> ORBIS– data </w:t>
      </w:r>
      <w:r w:rsidRPr="0064078F">
        <w:t>extracted</w:t>
      </w:r>
      <w:r w:rsidRPr="00C23F86">
        <w:t xml:space="preserve"> in September 2024</w:t>
      </w:r>
    </w:p>
    <w:p w14:paraId="20AD02F9" w14:textId="77777777" w:rsidR="00BA1E77" w:rsidRPr="00DB00D1" w:rsidRDefault="00BA1E77" w:rsidP="00BA1E77">
      <w:pPr>
        <w:pStyle w:val="JRCText"/>
      </w:pPr>
    </w:p>
    <w:p w14:paraId="2857DB3B" w14:textId="77777777" w:rsidR="00BA1E77" w:rsidRPr="00C23F86" w:rsidRDefault="00BA1E77" w:rsidP="00BA1E77">
      <w:pPr>
        <w:pStyle w:val="JRCText"/>
      </w:pPr>
      <w:r w:rsidRPr="00C23F86">
        <w:t>Analysing data from the Balkans Barometer, which highlights online sales trends among firms in Montenegro and the wider Western Balkans, it becomes evident that top-tier sellers in Montenegro are increasingly significant. Notably, in 2022 and 2023, 20% and 16% of the sample firms, respectively, generated more than 50% of their sales through online channels. This performance is impressive when compared to the regional averages for the same years, which stand at 10% and 6%. These statistics resonate well with the software spending data shown in Figure 1</w:t>
      </w:r>
      <w:r>
        <w:t>9</w:t>
      </w:r>
      <w:r w:rsidRPr="00C23F86">
        <w:t xml:space="preserve"> (section </w:t>
      </w:r>
      <w:r>
        <w:t>2.6.1</w:t>
      </w:r>
      <w:r w:rsidRPr="00C23F86">
        <w:t>).</w:t>
      </w:r>
    </w:p>
    <w:p w14:paraId="4D8238EE" w14:textId="77777777" w:rsidR="00BA1E77" w:rsidRPr="00DB00D1" w:rsidRDefault="00BA1E77" w:rsidP="00BA1E77">
      <w:pPr>
        <w:pStyle w:val="JRCFigurecaption"/>
      </w:pPr>
      <w:bookmarkStart w:id="89" w:name="_Toc220939020"/>
      <w:bookmarkStart w:id="90" w:name="_Toc221271703"/>
      <w:r w:rsidRPr="000E2296">
        <w:rPr>
          <w:b/>
          <w:bCs/>
        </w:rPr>
        <w:t xml:space="preserve">Figure </w:t>
      </w:r>
      <w:r w:rsidRPr="000E2296">
        <w:rPr>
          <w:b/>
          <w:bCs/>
        </w:rPr>
        <w:fldChar w:fldCharType="begin"/>
      </w:r>
      <w:r w:rsidRPr="000E2296">
        <w:rPr>
          <w:b/>
          <w:bCs/>
        </w:rPr>
        <w:instrText xml:space="preserve"> SEQ Figure \* ARABIC </w:instrText>
      </w:r>
      <w:r w:rsidRPr="000E2296">
        <w:rPr>
          <w:b/>
          <w:bCs/>
        </w:rPr>
        <w:fldChar w:fldCharType="separate"/>
      </w:r>
      <w:r>
        <w:rPr>
          <w:b/>
          <w:bCs/>
          <w:noProof/>
        </w:rPr>
        <w:t>24</w:t>
      </w:r>
      <w:r w:rsidRPr="000E2296">
        <w:rPr>
          <w:b/>
          <w:bCs/>
        </w:rPr>
        <w:fldChar w:fldCharType="end"/>
      </w:r>
      <w:r>
        <w:rPr>
          <w:b/>
          <w:bCs/>
        </w:rPr>
        <w:t>.</w:t>
      </w:r>
      <w:r w:rsidRPr="00DB00D1">
        <w:t xml:space="preserve"> Percentage of online sales - comparison between Montenegro and Western Balkans</w:t>
      </w:r>
      <w:bookmarkEnd w:id="89"/>
      <w:bookmarkEnd w:id="90"/>
    </w:p>
    <w:p w14:paraId="17CEDBC7" w14:textId="77777777" w:rsidR="00BA1E77" w:rsidRPr="00DB00D1" w:rsidRDefault="00BA1E77" w:rsidP="00BA1E77">
      <w:pPr>
        <w:pStyle w:val="JRCFigureplaceholder"/>
      </w:pPr>
      <w:r w:rsidRPr="00DB00D1">
        <w:rPr>
          <w:noProof/>
        </w:rPr>
        <w:drawing>
          <wp:inline distT="0" distB="0" distL="0" distR="0" wp14:anchorId="11980240" wp14:editId="0F9B1297">
            <wp:extent cx="5759450" cy="2555875"/>
            <wp:effectExtent l="12700" t="12700" r="19050" b="9525"/>
            <wp:docPr id="1445286885" name="Immagine 1" descr="A graph with different colored squa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1669420" name="Immagine 1" descr="A graph with different colored squares&#10;&#10;AI-generated content may be incorrect."/>
                    <pic:cNvPicPr/>
                  </pic:nvPicPr>
                  <pic:blipFill rotWithShape="1">
                    <a:blip r:embed="rId32"/>
                    <a:srcRect t="14362"/>
                    <a:stretch/>
                  </pic:blipFill>
                  <pic:spPr bwMode="auto">
                    <a:xfrm>
                      <a:off x="0" y="0"/>
                      <a:ext cx="5759450" cy="2555875"/>
                    </a:xfrm>
                    <a:prstGeom prst="rect">
                      <a:avLst/>
                    </a:prstGeom>
                    <a:ln w="9525" cap="flat" cmpd="sng" algn="ctr">
                      <a:solidFill>
                        <a:srgbClr val="F2F2F2">
                          <a:lumMod val="90000"/>
                        </a:srgbClr>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inline>
        </w:drawing>
      </w:r>
    </w:p>
    <w:p w14:paraId="75D2288C" w14:textId="77777777" w:rsidR="00BA1E77" w:rsidRPr="00DB00D1" w:rsidRDefault="00BA1E77" w:rsidP="00BA1E77">
      <w:pPr>
        <w:pStyle w:val="JRCFiguresource"/>
        <w:rPr>
          <w:sz w:val="20"/>
          <w:szCs w:val="20"/>
          <w:lang w:val="en-IE"/>
        </w:rPr>
      </w:pPr>
      <w:r w:rsidRPr="00D838EA">
        <w:rPr>
          <w:b/>
          <w:bCs/>
        </w:rPr>
        <w:t>Source:</w:t>
      </w:r>
      <w:r w:rsidRPr="00C23F86">
        <w:t xml:space="preserve"> Balkan Barometer </w:t>
      </w:r>
      <w:r>
        <w:t>–</w:t>
      </w:r>
      <w:r w:rsidRPr="00C23F86">
        <w:t xml:space="preserve"> Business opinion part</w:t>
      </w:r>
    </w:p>
    <w:p w14:paraId="1A6A7919" w14:textId="77777777" w:rsidR="00BA1E77" w:rsidRPr="00DB00D1" w:rsidRDefault="00BA1E77" w:rsidP="00BA1E77">
      <w:pPr>
        <w:pStyle w:val="JRCLevel-3title"/>
      </w:pPr>
      <w:bookmarkStart w:id="91" w:name="_Toc221016436"/>
      <w:r w:rsidRPr="00DB00D1">
        <w:t>Innovation Projects and Grants</w:t>
      </w:r>
      <w:bookmarkEnd w:id="91"/>
    </w:p>
    <w:p w14:paraId="01B47FD7" w14:textId="77777777" w:rsidR="00BA1E77" w:rsidRPr="00B1536D" w:rsidRDefault="00BA1E77" w:rsidP="00BA1E77">
      <w:pPr>
        <w:pStyle w:val="JRCText"/>
      </w:pPr>
      <w:r w:rsidRPr="00DB00D1">
        <w:t xml:space="preserve">In </w:t>
      </w:r>
      <w:r w:rsidRPr="00B1536D">
        <w:t>2020, the Government of Montenegro enacted a new law aimed at regulating incentives for research and innovation development (OECD, 2024). This initiative seeks to establish an innovation system grounded in strategic priorities and designed to promote public-private collaborations. The outcomes from</w:t>
      </w:r>
      <w:r>
        <w:rPr>
          <w:rFonts w:ascii="Calibri" w:hAnsi="Calibri" w:cs="Calibri"/>
        </w:rPr>
        <w:t> </w:t>
      </w:r>
      <w:r w:rsidRPr="00B1536D">
        <w:t>the initial years of these efforts, covering the period from 2019 to 2022 and involving a total budget</w:t>
      </w:r>
      <w:r>
        <w:rPr>
          <w:rFonts w:ascii="Calibri" w:hAnsi="Calibri" w:cs="Calibri"/>
        </w:rPr>
        <w:t> </w:t>
      </w:r>
      <w:r w:rsidRPr="00B1536D">
        <w:t xml:space="preserve">of approximately </w:t>
      </w:r>
      <w:r>
        <w:rPr>
          <w:color w:val="000000"/>
        </w:rPr>
        <w:t xml:space="preserve">EUR </w:t>
      </w:r>
      <w:r w:rsidRPr="00B1536D">
        <w:t>2.9 million, are discussed in the following sections, which details innovative projects funded by the government. The types of projects financed fall into three broad categories: Pre-acceleration programme, Early-stage start-ups, and Collaborative Innovation, with funding predominantly directed toward business actors.</w:t>
      </w:r>
    </w:p>
    <w:p w14:paraId="049900B9" w14:textId="77777777" w:rsidR="00BA1E77" w:rsidRPr="00B1536D" w:rsidRDefault="00BA1E77" w:rsidP="00BA1E77">
      <w:pPr>
        <w:pStyle w:val="JRCText"/>
      </w:pPr>
      <w:r w:rsidRPr="00B1536D">
        <w:t xml:space="preserve">Another significant outcome of this new vision has been the creation of the Innovation Fund of Montenegro, a specialised institution tasked with facilitating technology transfer and encouraging the alignment of private initiatives with the strategic priorities outlined in the Smart Specialisation Strategy (S3). The results achieved by the Innovation Fund are detailed in the subsequent section, covering the years 2022 to 2024, with a total budget of about </w:t>
      </w:r>
      <w:r>
        <w:rPr>
          <w:color w:val="000000"/>
        </w:rPr>
        <w:t xml:space="preserve">EUR </w:t>
      </w:r>
      <w:r w:rsidRPr="00B1536D">
        <w:t>5.9 million. The financing lines encompass ten distinct areas, closely aligned with those co-financed directly by the Ministry of Montenegro. In addition to focusing on the startup lifecycle, a noteworthy portion of the funding is also dedicated to SMEs.</w:t>
      </w:r>
    </w:p>
    <w:p w14:paraId="7CBD73BA" w14:textId="77777777" w:rsidR="00BA1E77" w:rsidRPr="00DB00D1" w:rsidRDefault="00BA1E77" w:rsidP="00BA1E77">
      <w:pPr>
        <w:pStyle w:val="JRCLevel-3title"/>
      </w:pPr>
      <w:bookmarkStart w:id="92" w:name="_Toc221016437"/>
      <w:r w:rsidRPr="00DB00D1">
        <w:lastRenderedPageBreak/>
        <w:t>Innovation Projects financed by Ministry of Education, Science and Innovation</w:t>
      </w:r>
      <w:bookmarkEnd w:id="92"/>
    </w:p>
    <w:p w14:paraId="0B0D9216" w14:textId="77777777" w:rsidR="00BA1E77" w:rsidRPr="00DB00D1" w:rsidRDefault="00BA1E77" w:rsidP="00BA1E77">
      <w:pPr>
        <w:pStyle w:val="JRCText"/>
        <w:rPr>
          <w:iCs/>
        </w:rPr>
      </w:pPr>
      <w:r w:rsidRPr="00DB00D1">
        <w:t xml:space="preserve">A total budget of approximately </w:t>
      </w:r>
      <w:r>
        <w:rPr>
          <w:color w:val="000000"/>
        </w:rPr>
        <w:t xml:space="preserve">EUR </w:t>
      </w:r>
      <w:r w:rsidRPr="00DB00D1">
        <w:t xml:space="preserve">2.9 million has been earmarked for innovation projects, with 72% of this amount designated for the </w:t>
      </w:r>
      <w:r>
        <w:t>‘</w:t>
      </w:r>
      <w:r w:rsidRPr="00DB00D1">
        <w:t>Collaborative Innovation Projects 2019-2021</w:t>
      </w:r>
      <w:r>
        <w:t>’</w:t>
      </w:r>
      <w:r w:rsidRPr="00DB00D1">
        <w:t xml:space="preserve"> fund. When examining the distribution by user type, businesses have received around </w:t>
      </w:r>
      <w:r>
        <w:rPr>
          <w:color w:val="000000"/>
        </w:rPr>
        <w:t xml:space="preserve">EUR </w:t>
      </w:r>
      <w:r w:rsidRPr="00DB00D1">
        <w:t>2.4 million, accounting for 84% of the total budget allocated for this category of funding (see Table 12).</w:t>
      </w:r>
    </w:p>
    <w:p w14:paraId="22AA135C" w14:textId="77777777" w:rsidR="00BA1E77" w:rsidRPr="00DB00D1" w:rsidRDefault="00BA1E77" w:rsidP="00BA1E77">
      <w:pPr>
        <w:pStyle w:val="JRCTabletitle"/>
      </w:pPr>
      <w:bookmarkStart w:id="93" w:name="_Toc220938964"/>
      <w:bookmarkStart w:id="94" w:name="_Toc221271674"/>
      <w:r w:rsidRPr="00C62602">
        <w:rPr>
          <w:b/>
          <w:bCs/>
        </w:rPr>
        <w:t xml:space="preserve">Table </w:t>
      </w:r>
      <w:r w:rsidRPr="00C62602">
        <w:rPr>
          <w:b/>
          <w:bCs/>
        </w:rPr>
        <w:fldChar w:fldCharType="begin"/>
      </w:r>
      <w:r w:rsidRPr="00C62602">
        <w:rPr>
          <w:b/>
          <w:bCs/>
        </w:rPr>
        <w:instrText xml:space="preserve"> SEQ Table \* ARABIC </w:instrText>
      </w:r>
      <w:r w:rsidRPr="00C62602">
        <w:rPr>
          <w:b/>
          <w:bCs/>
        </w:rPr>
        <w:fldChar w:fldCharType="separate"/>
      </w:r>
      <w:r>
        <w:rPr>
          <w:b/>
          <w:bCs/>
          <w:noProof/>
        </w:rPr>
        <w:t>12</w:t>
      </w:r>
      <w:r w:rsidRPr="00C62602">
        <w:rPr>
          <w:b/>
          <w:bCs/>
        </w:rPr>
        <w:fldChar w:fldCharType="end"/>
      </w:r>
      <w:r>
        <w:rPr>
          <w:b/>
          <w:bCs/>
        </w:rPr>
        <w:t>.</w:t>
      </w:r>
      <w:r w:rsidRPr="00DB00D1">
        <w:t xml:space="preserve"> Financing received by type of users for each project category (</w:t>
      </w:r>
      <w:r>
        <w:rPr>
          <w:color w:val="000000"/>
        </w:rPr>
        <w:t xml:space="preserve">EUR </w:t>
      </w:r>
      <w:r w:rsidRPr="00DB00D1">
        <w:t>million)</w:t>
      </w:r>
      <w:bookmarkEnd w:id="93"/>
      <w:bookmarkEnd w:id="94"/>
    </w:p>
    <w:tbl>
      <w:tblPr>
        <w:tblStyle w:val="JRCTableBasic"/>
        <w:tblW w:w="9651" w:type="dxa"/>
        <w:tblLook w:val="04A0" w:firstRow="1" w:lastRow="0" w:firstColumn="1" w:lastColumn="0" w:noHBand="0" w:noVBand="1"/>
      </w:tblPr>
      <w:tblGrid>
        <w:gridCol w:w="1990"/>
        <w:gridCol w:w="1701"/>
        <w:gridCol w:w="1701"/>
        <w:gridCol w:w="1701"/>
        <w:gridCol w:w="1731"/>
        <w:gridCol w:w="827"/>
      </w:tblGrid>
      <w:tr w:rsidR="00BA1E77" w:rsidRPr="00C62602" w14:paraId="5987DD6A" w14:textId="77777777" w:rsidTr="00C70998">
        <w:trPr>
          <w:cnfStyle w:val="100000000000" w:firstRow="1" w:lastRow="0" w:firstColumn="0" w:lastColumn="0" w:oddVBand="0" w:evenVBand="0" w:oddHBand="0"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1990" w:type="dxa"/>
            <w:noWrap/>
            <w:vAlign w:val="center"/>
            <w:hideMark/>
          </w:tcPr>
          <w:p w14:paraId="71B58131" w14:textId="77777777" w:rsidR="00BA1E77" w:rsidRPr="00F37DA4" w:rsidRDefault="00BA1E77" w:rsidP="00C70998">
            <w:pPr>
              <w:pStyle w:val="JRCTableBoxtitle"/>
              <w:jc w:val="left"/>
              <w:rPr>
                <w:b/>
                <w:bCs/>
              </w:rPr>
            </w:pPr>
            <w:r w:rsidRPr="00F37DA4">
              <w:rPr>
                <w:b/>
                <w:bCs/>
              </w:rPr>
              <w:t>Type of users</w:t>
            </w:r>
          </w:p>
        </w:tc>
        <w:tc>
          <w:tcPr>
            <w:tcW w:w="1701" w:type="dxa"/>
            <w:noWrap/>
            <w:vAlign w:val="center"/>
            <w:hideMark/>
          </w:tcPr>
          <w:p w14:paraId="5B2A2DA9" w14:textId="77777777" w:rsidR="00BA1E77" w:rsidRPr="00F37DA4" w:rsidRDefault="00BA1E77" w:rsidP="00C70998">
            <w:pPr>
              <w:pStyle w:val="JRCTableBoxtitle"/>
              <w:jc w:val="left"/>
              <w:cnfStyle w:val="100000000000" w:firstRow="1" w:lastRow="0" w:firstColumn="0" w:lastColumn="0" w:oddVBand="0" w:evenVBand="0" w:oddHBand="0" w:evenHBand="0" w:firstRowFirstColumn="0" w:firstRowLastColumn="0" w:lastRowFirstColumn="0" w:lastRowLastColumn="0"/>
              <w:rPr>
                <w:b/>
                <w:bCs/>
              </w:rPr>
            </w:pPr>
            <w:r w:rsidRPr="00F37DA4">
              <w:rPr>
                <w:b/>
                <w:bCs/>
              </w:rPr>
              <w:t>Collaborative Innovation Projects 2019-2021</w:t>
            </w:r>
          </w:p>
        </w:tc>
        <w:tc>
          <w:tcPr>
            <w:tcW w:w="1701" w:type="dxa"/>
            <w:noWrap/>
            <w:vAlign w:val="center"/>
            <w:hideMark/>
          </w:tcPr>
          <w:p w14:paraId="7C2685C8" w14:textId="77777777" w:rsidR="00BA1E77" w:rsidRPr="00F37DA4" w:rsidRDefault="00BA1E77" w:rsidP="00C70998">
            <w:pPr>
              <w:pStyle w:val="JRCTableBoxtitle"/>
              <w:jc w:val="left"/>
              <w:cnfStyle w:val="100000000000" w:firstRow="1" w:lastRow="0" w:firstColumn="0" w:lastColumn="0" w:oddVBand="0" w:evenVBand="0" w:oddHBand="0" w:evenHBand="0" w:firstRowFirstColumn="0" w:firstRowLastColumn="0" w:lastRowFirstColumn="0" w:lastRowLastColumn="0"/>
              <w:rPr>
                <w:b/>
                <w:bCs/>
              </w:rPr>
            </w:pPr>
            <w:r w:rsidRPr="00F37DA4">
              <w:rPr>
                <w:b/>
                <w:bCs/>
              </w:rPr>
              <w:t>Early-stage start-ups 2021</w:t>
            </w:r>
          </w:p>
        </w:tc>
        <w:tc>
          <w:tcPr>
            <w:tcW w:w="1701" w:type="dxa"/>
            <w:noWrap/>
            <w:vAlign w:val="center"/>
            <w:hideMark/>
          </w:tcPr>
          <w:p w14:paraId="6CE73E3E" w14:textId="77777777" w:rsidR="00BA1E77" w:rsidRPr="00F37DA4" w:rsidRDefault="00BA1E77" w:rsidP="00C70998">
            <w:pPr>
              <w:pStyle w:val="JRCTableBoxtitle"/>
              <w:jc w:val="left"/>
              <w:cnfStyle w:val="100000000000" w:firstRow="1" w:lastRow="0" w:firstColumn="0" w:lastColumn="0" w:oddVBand="0" w:evenVBand="0" w:oddHBand="0" w:evenHBand="0" w:firstRowFirstColumn="0" w:firstRowLastColumn="0" w:lastRowFirstColumn="0" w:lastRowLastColumn="0"/>
              <w:rPr>
                <w:b/>
                <w:bCs/>
              </w:rPr>
            </w:pPr>
            <w:r w:rsidRPr="00F37DA4">
              <w:rPr>
                <w:b/>
                <w:bCs/>
              </w:rPr>
              <w:t>Early-stage start-ups 2022</w:t>
            </w:r>
          </w:p>
        </w:tc>
        <w:tc>
          <w:tcPr>
            <w:tcW w:w="1731" w:type="dxa"/>
            <w:noWrap/>
            <w:vAlign w:val="center"/>
            <w:hideMark/>
          </w:tcPr>
          <w:p w14:paraId="7E4BC2A3" w14:textId="77777777" w:rsidR="00BA1E77" w:rsidRPr="00F37DA4" w:rsidRDefault="00BA1E77" w:rsidP="00C70998">
            <w:pPr>
              <w:pStyle w:val="JRCTableBoxtitle"/>
              <w:jc w:val="left"/>
              <w:cnfStyle w:val="100000000000" w:firstRow="1" w:lastRow="0" w:firstColumn="0" w:lastColumn="0" w:oddVBand="0" w:evenVBand="0" w:oddHBand="0" w:evenHBand="0" w:firstRowFirstColumn="0" w:firstRowLastColumn="0" w:lastRowFirstColumn="0" w:lastRowLastColumn="0"/>
              <w:rPr>
                <w:b/>
                <w:bCs/>
              </w:rPr>
            </w:pPr>
            <w:r w:rsidRPr="00F37DA4">
              <w:rPr>
                <w:b/>
                <w:bCs/>
              </w:rPr>
              <w:t>Pre-acceleration programme 2019(2)/2021(3)</w:t>
            </w:r>
          </w:p>
        </w:tc>
        <w:tc>
          <w:tcPr>
            <w:tcW w:w="827" w:type="dxa"/>
            <w:noWrap/>
            <w:vAlign w:val="center"/>
            <w:hideMark/>
          </w:tcPr>
          <w:p w14:paraId="3B76D9A2" w14:textId="77777777" w:rsidR="00BA1E77" w:rsidRPr="00F37DA4" w:rsidRDefault="00BA1E77" w:rsidP="00C70998">
            <w:pPr>
              <w:pStyle w:val="JRCTableBoxtitle"/>
              <w:jc w:val="left"/>
              <w:cnfStyle w:val="100000000000" w:firstRow="1" w:lastRow="0" w:firstColumn="0" w:lastColumn="0" w:oddVBand="0" w:evenVBand="0" w:oddHBand="0" w:evenHBand="0" w:firstRowFirstColumn="0" w:firstRowLastColumn="0" w:lastRowFirstColumn="0" w:lastRowLastColumn="0"/>
              <w:rPr>
                <w:b/>
                <w:bCs/>
              </w:rPr>
            </w:pPr>
            <w:r w:rsidRPr="00F37DA4">
              <w:rPr>
                <w:b/>
                <w:bCs/>
              </w:rPr>
              <w:t>Total</w:t>
            </w:r>
          </w:p>
        </w:tc>
      </w:tr>
      <w:tr w:rsidR="00BA1E77" w:rsidRPr="00C62602" w14:paraId="46D882BB" w14:textId="77777777" w:rsidTr="00C70998">
        <w:trPr>
          <w:trHeight w:val="225"/>
        </w:trPr>
        <w:tc>
          <w:tcPr>
            <w:cnfStyle w:val="001000000000" w:firstRow="0" w:lastRow="0" w:firstColumn="1" w:lastColumn="0" w:oddVBand="0" w:evenVBand="0" w:oddHBand="0" w:evenHBand="0" w:firstRowFirstColumn="0" w:firstRowLastColumn="0" w:lastRowFirstColumn="0" w:lastRowLastColumn="0"/>
            <w:tcW w:w="1990" w:type="dxa"/>
            <w:noWrap/>
            <w:vAlign w:val="center"/>
            <w:hideMark/>
          </w:tcPr>
          <w:p w14:paraId="4C4602E0" w14:textId="77777777" w:rsidR="00BA1E77" w:rsidRPr="00F37DA4" w:rsidRDefault="00BA1E77" w:rsidP="00C70998">
            <w:pPr>
              <w:pStyle w:val="JRCTabletext10pt"/>
            </w:pPr>
            <w:r w:rsidRPr="00F37DA4">
              <w:t>Business entity</w:t>
            </w:r>
          </w:p>
        </w:tc>
        <w:tc>
          <w:tcPr>
            <w:tcW w:w="1701" w:type="dxa"/>
            <w:noWrap/>
            <w:vAlign w:val="center"/>
            <w:hideMark/>
          </w:tcPr>
          <w:p w14:paraId="34E91D46" w14:textId="77777777" w:rsidR="00BA1E77" w:rsidRPr="00F37DA4"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F37DA4">
              <w:t>1</w:t>
            </w:r>
            <w:r>
              <w:t>.</w:t>
            </w:r>
            <w:r w:rsidRPr="00F37DA4">
              <w:t>71</w:t>
            </w:r>
          </w:p>
        </w:tc>
        <w:tc>
          <w:tcPr>
            <w:tcW w:w="1701" w:type="dxa"/>
            <w:noWrap/>
            <w:vAlign w:val="center"/>
            <w:hideMark/>
          </w:tcPr>
          <w:p w14:paraId="6E14CE5C" w14:textId="77777777" w:rsidR="00BA1E77" w:rsidRPr="00F37DA4"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F37DA4">
              <w:t>0</w:t>
            </w:r>
            <w:r>
              <w:t>.</w:t>
            </w:r>
            <w:r w:rsidRPr="00F37DA4">
              <w:t>25</w:t>
            </w:r>
          </w:p>
        </w:tc>
        <w:tc>
          <w:tcPr>
            <w:tcW w:w="1701" w:type="dxa"/>
            <w:noWrap/>
            <w:vAlign w:val="center"/>
            <w:hideMark/>
          </w:tcPr>
          <w:p w14:paraId="2F3D87A6" w14:textId="77777777" w:rsidR="00BA1E77" w:rsidRPr="00F37DA4"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F37DA4">
              <w:t>0</w:t>
            </w:r>
            <w:r>
              <w:t>.</w:t>
            </w:r>
            <w:r w:rsidRPr="00F37DA4">
              <w:t>21</w:t>
            </w:r>
          </w:p>
        </w:tc>
        <w:tc>
          <w:tcPr>
            <w:tcW w:w="1731" w:type="dxa"/>
            <w:noWrap/>
            <w:vAlign w:val="center"/>
            <w:hideMark/>
          </w:tcPr>
          <w:p w14:paraId="6689B841" w14:textId="77777777" w:rsidR="00BA1E77" w:rsidRPr="00F37DA4"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F37DA4">
              <w:t>0</w:t>
            </w:r>
            <w:r>
              <w:t>.</w:t>
            </w:r>
            <w:r w:rsidRPr="00F37DA4">
              <w:t>26</w:t>
            </w:r>
          </w:p>
        </w:tc>
        <w:tc>
          <w:tcPr>
            <w:tcW w:w="827" w:type="dxa"/>
            <w:noWrap/>
            <w:vAlign w:val="center"/>
            <w:hideMark/>
          </w:tcPr>
          <w:p w14:paraId="4C6E845B" w14:textId="77777777" w:rsidR="00BA1E77" w:rsidRPr="00F37DA4"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F37DA4">
              <w:t>2</w:t>
            </w:r>
            <w:r>
              <w:t>.</w:t>
            </w:r>
            <w:r w:rsidRPr="00F37DA4">
              <w:t>4</w:t>
            </w:r>
            <w:r>
              <w:t>3</w:t>
            </w:r>
          </w:p>
        </w:tc>
      </w:tr>
      <w:tr w:rsidR="00BA1E77" w:rsidRPr="00C62602" w14:paraId="418B7059" w14:textId="77777777" w:rsidTr="00C70998">
        <w:trPr>
          <w:trHeight w:val="225"/>
        </w:trPr>
        <w:tc>
          <w:tcPr>
            <w:cnfStyle w:val="001000000000" w:firstRow="0" w:lastRow="0" w:firstColumn="1" w:lastColumn="0" w:oddVBand="0" w:evenVBand="0" w:oddHBand="0" w:evenHBand="0" w:firstRowFirstColumn="0" w:firstRowLastColumn="0" w:lastRowFirstColumn="0" w:lastRowLastColumn="0"/>
            <w:tcW w:w="1990" w:type="dxa"/>
            <w:noWrap/>
            <w:vAlign w:val="center"/>
            <w:hideMark/>
          </w:tcPr>
          <w:p w14:paraId="7B1C1A72" w14:textId="77777777" w:rsidR="00BA1E77" w:rsidRPr="00F37DA4" w:rsidRDefault="00BA1E77" w:rsidP="00C70998">
            <w:pPr>
              <w:pStyle w:val="JRCTabletext10pt"/>
            </w:pPr>
            <w:r w:rsidRPr="00F37DA4">
              <w:t>Institution of Higher Education</w:t>
            </w:r>
          </w:p>
        </w:tc>
        <w:tc>
          <w:tcPr>
            <w:tcW w:w="1701" w:type="dxa"/>
            <w:noWrap/>
            <w:vAlign w:val="center"/>
            <w:hideMark/>
          </w:tcPr>
          <w:p w14:paraId="002F7171" w14:textId="77777777" w:rsidR="00BA1E77" w:rsidRPr="00F37DA4"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F37DA4">
              <w:t>0</w:t>
            </w:r>
            <w:r>
              <w:t>.</w:t>
            </w:r>
            <w:r w:rsidRPr="00F37DA4">
              <w:t>10</w:t>
            </w:r>
          </w:p>
        </w:tc>
        <w:tc>
          <w:tcPr>
            <w:tcW w:w="1701" w:type="dxa"/>
            <w:noWrap/>
            <w:vAlign w:val="center"/>
            <w:hideMark/>
          </w:tcPr>
          <w:p w14:paraId="371FB06D" w14:textId="77777777" w:rsidR="00BA1E77" w:rsidRPr="00F37DA4"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p>
        </w:tc>
        <w:tc>
          <w:tcPr>
            <w:tcW w:w="1701" w:type="dxa"/>
            <w:noWrap/>
            <w:vAlign w:val="center"/>
            <w:hideMark/>
          </w:tcPr>
          <w:p w14:paraId="55C01E2A" w14:textId="77777777" w:rsidR="00BA1E77" w:rsidRPr="00F37DA4"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p>
        </w:tc>
        <w:tc>
          <w:tcPr>
            <w:tcW w:w="1731" w:type="dxa"/>
            <w:noWrap/>
            <w:vAlign w:val="center"/>
            <w:hideMark/>
          </w:tcPr>
          <w:p w14:paraId="46520DF2" w14:textId="77777777" w:rsidR="00BA1E77" w:rsidRPr="00F37DA4"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p>
        </w:tc>
        <w:tc>
          <w:tcPr>
            <w:tcW w:w="827" w:type="dxa"/>
            <w:noWrap/>
            <w:vAlign w:val="center"/>
            <w:hideMark/>
          </w:tcPr>
          <w:p w14:paraId="54EDCAD7" w14:textId="77777777" w:rsidR="00BA1E77" w:rsidRPr="00F37DA4"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F37DA4">
              <w:t>0</w:t>
            </w:r>
            <w:r>
              <w:t>.</w:t>
            </w:r>
            <w:r w:rsidRPr="00F37DA4">
              <w:t>10</w:t>
            </w:r>
          </w:p>
        </w:tc>
      </w:tr>
      <w:tr w:rsidR="00BA1E77" w:rsidRPr="00C62602" w14:paraId="6B37F1F2" w14:textId="77777777" w:rsidTr="00C70998">
        <w:trPr>
          <w:trHeight w:val="225"/>
        </w:trPr>
        <w:tc>
          <w:tcPr>
            <w:cnfStyle w:val="001000000000" w:firstRow="0" w:lastRow="0" w:firstColumn="1" w:lastColumn="0" w:oddVBand="0" w:evenVBand="0" w:oddHBand="0" w:evenHBand="0" w:firstRowFirstColumn="0" w:firstRowLastColumn="0" w:lastRowFirstColumn="0" w:lastRowLastColumn="0"/>
            <w:tcW w:w="1990" w:type="dxa"/>
            <w:noWrap/>
            <w:vAlign w:val="center"/>
            <w:hideMark/>
          </w:tcPr>
          <w:p w14:paraId="1D61E2CC" w14:textId="77777777" w:rsidR="00BA1E77" w:rsidRPr="00F37DA4" w:rsidRDefault="00BA1E77" w:rsidP="00C70998">
            <w:pPr>
              <w:pStyle w:val="JRCTabletext10pt"/>
            </w:pPr>
            <w:r w:rsidRPr="00F37DA4">
              <w:t>Licenced scientific Research Institution (Institution of Higher Education)</w:t>
            </w:r>
          </w:p>
        </w:tc>
        <w:tc>
          <w:tcPr>
            <w:tcW w:w="1701" w:type="dxa"/>
            <w:noWrap/>
            <w:vAlign w:val="center"/>
            <w:hideMark/>
          </w:tcPr>
          <w:p w14:paraId="4F466521" w14:textId="77777777" w:rsidR="00BA1E77" w:rsidRPr="00F37DA4"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F37DA4">
              <w:t>0</w:t>
            </w:r>
            <w:r>
              <w:t>.</w:t>
            </w:r>
            <w:r w:rsidRPr="00F37DA4">
              <w:t>28</w:t>
            </w:r>
          </w:p>
        </w:tc>
        <w:tc>
          <w:tcPr>
            <w:tcW w:w="1701" w:type="dxa"/>
            <w:noWrap/>
            <w:vAlign w:val="center"/>
            <w:hideMark/>
          </w:tcPr>
          <w:p w14:paraId="5AA28598" w14:textId="77777777" w:rsidR="00BA1E77" w:rsidRPr="00F37DA4"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p>
        </w:tc>
        <w:tc>
          <w:tcPr>
            <w:tcW w:w="1701" w:type="dxa"/>
            <w:noWrap/>
            <w:vAlign w:val="center"/>
            <w:hideMark/>
          </w:tcPr>
          <w:p w14:paraId="27EBF38F" w14:textId="77777777" w:rsidR="00BA1E77" w:rsidRPr="00F37DA4"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p>
        </w:tc>
        <w:tc>
          <w:tcPr>
            <w:tcW w:w="1731" w:type="dxa"/>
            <w:noWrap/>
            <w:vAlign w:val="center"/>
            <w:hideMark/>
          </w:tcPr>
          <w:p w14:paraId="21EB7889" w14:textId="77777777" w:rsidR="00BA1E77" w:rsidRPr="00F37DA4"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F37DA4">
              <w:t>0</w:t>
            </w:r>
            <w:r>
              <w:t>.</w:t>
            </w:r>
            <w:r w:rsidRPr="00F37DA4">
              <w:t>06</w:t>
            </w:r>
          </w:p>
        </w:tc>
        <w:tc>
          <w:tcPr>
            <w:tcW w:w="827" w:type="dxa"/>
            <w:noWrap/>
            <w:vAlign w:val="center"/>
            <w:hideMark/>
          </w:tcPr>
          <w:p w14:paraId="617BF376" w14:textId="77777777" w:rsidR="00BA1E77" w:rsidRPr="00F37DA4"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F37DA4">
              <w:t>0</w:t>
            </w:r>
            <w:r>
              <w:t>.</w:t>
            </w:r>
            <w:r w:rsidRPr="00F37DA4">
              <w:t>3</w:t>
            </w:r>
            <w:r>
              <w:t>4</w:t>
            </w:r>
          </w:p>
        </w:tc>
      </w:tr>
      <w:tr w:rsidR="00BA1E77" w:rsidRPr="00C62602" w14:paraId="7D7F0704" w14:textId="77777777" w:rsidTr="00C70998">
        <w:trPr>
          <w:trHeight w:val="225"/>
        </w:trPr>
        <w:tc>
          <w:tcPr>
            <w:cnfStyle w:val="001000000000" w:firstRow="0" w:lastRow="0" w:firstColumn="1" w:lastColumn="0" w:oddVBand="0" w:evenVBand="0" w:oddHBand="0" w:evenHBand="0" w:firstRowFirstColumn="0" w:firstRowLastColumn="0" w:lastRowFirstColumn="0" w:lastRowLastColumn="0"/>
            <w:tcW w:w="1990" w:type="dxa"/>
            <w:noWrap/>
            <w:vAlign w:val="center"/>
            <w:hideMark/>
          </w:tcPr>
          <w:p w14:paraId="5C49C953" w14:textId="77777777" w:rsidR="00BA1E77" w:rsidRPr="00F37DA4" w:rsidRDefault="00BA1E77" w:rsidP="00C70998">
            <w:pPr>
              <w:pStyle w:val="JRCTabletext10pt"/>
            </w:pPr>
            <w:r w:rsidRPr="00F37DA4">
              <w:t>NGO</w:t>
            </w:r>
          </w:p>
        </w:tc>
        <w:tc>
          <w:tcPr>
            <w:tcW w:w="1701" w:type="dxa"/>
            <w:noWrap/>
            <w:vAlign w:val="center"/>
            <w:hideMark/>
          </w:tcPr>
          <w:p w14:paraId="15BD4B19" w14:textId="77777777" w:rsidR="00BA1E77" w:rsidRPr="00F37DA4"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p>
        </w:tc>
        <w:tc>
          <w:tcPr>
            <w:tcW w:w="1701" w:type="dxa"/>
            <w:noWrap/>
            <w:vAlign w:val="center"/>
            <w:hideMark/>
          </w:tcPr>
          <w:p w14:paraId="19F6BEAC" w14:textId="77777777" w:rsidR="00BA1E77" w:rsidRPr="00F37DA4"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p>
        </w:tc>
        <w:tc>
          <w:tcPr>
            <w:tcW w:w="1701" w:type="dxa"/>
            <w:noWrap/>
            <w:vAlign w:val="center"/>
            <w:hideMark/>
          </w:tcPr>
          <w:p w14:paraId="29FD95FE" w14:textId="77777777" w:rsidR="00BA1E77" w:rsidRPr="00F37DA4"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F37DA4">
              <w:t>0</w:t>
            </w:r>
            <w:r>
              <w:t>.</w:t>
            </w:r>
            <w:r w:rsidRPr="00F37DA4">
              <w:t>02</w:t>
            </w:r>
          </w:p>
        </w:tc>
        <w:tc>
          <w:tcPr>
            <w:tcW w:w="1731" w:type="dxa"/>
            <w:noWrap/>
            <w:vAlign w:val="center"/>
            <w:hideMark/>
          </w:tcPr>
          <w:p w14:paraId="006FEC05" w14:textId="77777777" w:rsidR="00BA1E77" w:rsidRPr="00F37DA4"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p>
        </w:tc>
        <w:tc>
          <w:tcPr>
            <w:tcW w:w="827" w:type="dxa"/>
            <w:noWrap/>
            <w:vAlign w:val="center"/>
            <w:hideMark/>
          </w:tcPr>
          <w:p w14:paraId="60BE3EE0" w14:textId="77777777" w:rsidR="00BA1E77" w:rsidRPr="00F37DA4"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F37DA4">
              <w:t>0</w:t>
            </w:r>
            <w:r>
              <w:t>.</w:t>
            </w:r>
            <w:r w:rsidRPr="00F37DA4">
              <w:t>02</w:t>
            </w:r>
          </w:p>
        </w:tc>
      </w:tr>
      <w:tr w:rsidR="00BA1E77" w:rsidRPr="00C62602" w14:paraId="395CD6A2" w14:textId="77777777" w:rsidTr="00C70998">
        <w:trPr>
          <w:trHeight w:val="225"/>
        </w:trPr>
        <w:tc>
          <w:tcPr>
            <w:cnfStyle w:val="001000000000" w:firstRow="0" w:lastRow="0" w:firstColumn="1" w:lastColumn="0" w:oddVBand="0" w:evenVBand="0" w:oddHBand="0" w:evenHBand="0" w:firstRowFirstColumn="0" w:firstRowLastColumn="0" w:lastRowFirstColumn="0" w:lastRowLastColumn="0"/>
            <w:tcW w:w="1990" w:type="dxa"/>
            <w:noWrap/>
            <w:vAlign w:val="center"/>
            <w:hideMark/>
          </w:tcPr>
          <w:p w14:paraId="0D3D227C" w14:textId="77777777" w:rsidR="00BA1E77" w:rsidRPr="00F37DA4" w:rsidRDefault="00BA1E77" w:rsidP="00C70998">
            <w:pPr>
              <w:pStyle w:val="JRCTabletext10pt"/>
            </w:pPr>
            <w:r w:rsidRPr="00F37DA4">
              <w:t>Total</w:t>
            </w:r>
          </w:p>
        </w:tc>
        <w:tc>
          <w:tcPr>
            <w:tcW w:w="1701" w:type="dxa"/>
            <w:noWrap/>
            <w:vAlign w:val="center"/>
            <w:hideMark/>
          </w:tcPr>
          <w:p w14:paraId="7D60B69A" w14:textId="77777777" w:rsidR="00BA1E77" w:rsidRPr="00F37DA4"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F37DA4">
              <w:t>2</w:t>
            </w:r>
            <w:r>
              <w:t>.</w:t>
            </w:r>
            <w:r w:rsidRPr="00F37DA4">
              <w:t>0</w:t>
            </w:r>
            <w:r>
              <w:t>9</w:t>
            </w:r>
          </w:p>
        </w:tc>
        <w:tc>
          <w:tcPr>
            <w:tcW w:w="1701" w:type="dxa"/>
            <w:noWrap/>
            <w:vAlign w:val="center"/>
            <w:hideMark/>
          </w:tcPr>
          <w:p w14:paraId="024A1DB2" w14:textId="77777777" w:rsidR="00BA1E77" w:rsidRPr="00F37DA4"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F37DA4">
              <w:t>0</w:t>
            </w:r>
            <w:r>
              <w:t>.</w:t>
            </w:r>
            <w:r w:rsidRPr="00F37DA4">
              <w:t>25</w:t>
            </w:r>
          </w:p>
        </w:tc>
        <w:tc>
          <w:tcPr>
            <w:tcW w:w="1701" w:type="dxa"/>
            <w:noWrap/>
            <w:vAlign w:val="center"/>
            <w:hideMark/>
          </w:tcPr>
          <w:p w14:paraId="7061F0EE" w14:textId="77777777" w:rsidR="00BA1E77" w:rsidRPr="00F37DA4"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F37DA4">
              <w:t>0</w:t>
            </w:r>
            <w:r>
              <w:t>.</w:t>
            </w:r>
            <w:r w:rsidRPr="00F37DA4">
              <w:t>23</w:t>
            </w:r>
          </w:p>
        </w:tc>
        <w:tc>
          <w:tcPr>
            <w:tcW w:w="1731" w:type="dxa"/>
            <w:noWrap/>
            <w:vAlign w:val="center"/>
            <w:hideMark/>
          </w:tcPr>
          <w:p w14:paraId="7864CE4D" w14:textId="77777777" w:rsidR="00BA1E77" w:rsidRPr="00F37DA4"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F37DA4">
              <w:t>0</w:t>
            </w:r>
            <w:r>
              <w:t>.</w:t>
            </w:r>
            <w:r w:rsidRPr="00F37DA4">
              <w:t>32</w:t>
            </w:r>
          </w:p>
        </w:tc>
        <w:tc>
          <w:tcPr>
            <w:tcW w:w="827" w:type="dxa"/>
            <w:noWrap/>
            <w:vAlign w:val="center"/>
            <w:hideMark/>
          </w:tcPr>
          <w:p w14:paraId="4E4B49D9" w14:textId="77777777" w:rsidR="00BA1E77" w:rsidRPr="00F37DA4"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F37DA4">
              <w:t>2</w:t>
            </w:r>
            <w:r>
              <w:t>.</w:t>
            </w:r>
            <w:r w:rsidRPr="00F37DA4">
              <w:t>8</w:t>
            </w:r>
            <w:r>
              <w:t>9</w:t>
            </w:r>
          </w:p>
        </w:tc>
      </w:tr>
    </w:tbl>
    <w:p w14:paraId="39A2E5A9" w14:textId="77777777" w:rsidR="00BA1E77" w:rsidRPr="001C59F4" w:rsidRDefault="00BA1E77" w:rsidP="00BA1E77">
      <w:pPr>
        <w:pStyle w:val="JRCTablesource"/>
      </w:pPr>
      <w:r w:rsidRPr="001C59F4">
        <w:rPr>
          <w:b/>
          <w:bCs/>
        </w:rPr>
        <w:t>Source:</w:t>
      </w:r>
      <w:r w:rsidRPr="001C59F4">
        <w:t xml:space="preserve"> Ministry of Education, Science and Innovation</w:t>
      </w:r>
    </w:p>
    <w:p w14:paraId="395151F2" w14:textId="77777777" w:rsidR="00BA1E77" w:rsidRPr="00DB00D1" w:rsidRDefault="00BA1E77" w:rsidP="00BA1E77">
      <w:pPr>
        <w:pStyle w:val="JRCText"/>
      </w:pPr>
      <w:r w:rsidRPr="00DB00D1">
        <w:t xml:space="preserve">When examining the financing allocated according to S3 priorities, it becomes evident that ICT and the Agriculture and Food Value Chain are the two most funded areas, receiving </w:t>
      </w:r>
      <w:r>
        <w:t xml:space="preserve">EUR </w:t>
      </w:r>
      <w:r w:rsidRPr="00DB00D1">
        <w:t xml:space="preserve">1.7 million (59% of the total budget) and </w:t>
      </w:r>
      <w:r>
        <w:t xml:space="preserve">EUR </w:t>
      </w:r>
      <w:r w:rsidRPr="00DB00D1">
        <w:t>0.4 million (15% of the total budget), respectively. Notably, ICT is the sole S3 priority that has received support from three distinct innovation project funds (refer to Table 13).</w:t>
      </w:r>
    </w:p>
    <w:p w14:paraId="7FC18AAD" w14:textId="77777777" w:rsidR="00BA1E77" w:rsidRPr="00DB00D1" w:rsidRDefault="00BA1E77" w:rsidP="00BA1E77">
      <w:pPr>
        <w:pStyle w:val="JRCTabletitle"/>
      </w:pPr>
      <w:bookmarkStart w:id="95" w:name="_Toc220938965"/>
      <w:bookmarkStart w:id="96" w:name="_Toc221271675"/>
      <w:r w:rsidRPr="00C62602">
        <w:rPr>
          <w:b/>
          <w:bCs/>
        </w:rPr>
        <w:t xml:space="preserve">Table </w:t>
      </w:r>
      <w:r w:rsidRPr="00C62602">
        <w:rPr>
          <w:b/>
          <w:bCs/>
        </w:rPr>
        <w:fldChar w:fldCharType="begin"/>
      </w:r>
      <w:r w:rsidRPr="00C62602">
        <w:rPr>
          <w:b/>
          <w:bCs/>
        </w:rPr>
        <w:instrText xml:space="preserve"> SEQ Table \* ARABIC </w:instrText>
      </w:r>
      <w:r w:rsidRPr="00C62602">
        <w:rPr>
          <w:b/>
          <w:bCs/>
        </w:rPr>
        <w:fldChar w:fldCharType="separate"/>
      </w:r>
      <w:r>
        <w:rPr>
          <w:b/>
          <w:bCs/>
          <w:noProof/>
        </w:rPr>
        <w:t>13</w:t>
      </w:r>
      <w:r w:rsidRPr="00C62602">
        <w:rPr>
          <w:b/>
          <w:bCs/>
        </w:rPr>
        <w:fldChar w:fldCharType="end"/>
      </w:r>
      <w:r>
        <w:rPr>
          <w:b/>
          <w:bCs/>
        </w:rPr>
        <w:t>.</w:t>
      </w:r>
      <w:r w:rsidRPr="00DB00D1">
        <w:t xml:space="preserve"> Financing received by S3 priority for each project category (</w:t>
      </w:r>
      <w:r>
        <w:rPr>
          <w:color w:val="000000"/>
        </w:rPr>
        <w:t>EUR</w:t>
      </w:r>
      <w:r w:rsidRPr="00DB00D1">
        <w:rPr>
          <w:sz w:val="18"/>
        </w:rPr>
        <w:t xml:space="preserve"> </w:t>
      </w:r>
      <w:r w:rsidRPr="00DB00D1">
        <w:t>million)</w:t>
      </w:r>
      <w:bookmarkEnd w:id="95"/>
      <w:bookmarkEnd w:id="96"/>
    </w:p>
    <w:tbl>
      <w:tblPr>
        <w:tblStyle w:val="JRCTableBasic"/>
        <w:tblW w:w="9653" w:type="dxa"/>
        <w:tblLook w:val="04A0" w:firstRow="1" w:lastRow="0" w:firstColumn="1" w:lastColumn="0" w:noHBand="0" w:noVBand="1"/>
      </w:tblPr>
      <w:tblGrid>
        <w:gridCol w:w="1990"/>
        <w:gridCol w:w="1702"/>
        <w:gridCol w:w="1701"/>
        <w:gridCol w:w="1701"/>
        <w:gridCol w:w="1731"/>
        <w:gridCol w:w="828"/>
      </w:tblGrid>
      <w:tr w:rsidR="00BA1E77" w:rsidRPr="00C62602" w14:paraId="43BF1E1D" w14:textId="77777777" w:rsidTr="00C70998">
        <w:trPr>
          <w:cnfStyle w:val="100000000000" w:firstRow="1" w:lastRow="0" w:firstColumn="0" w:lastColumn="0" w:oddVBand="0" w:evenVBand="0" w:oddHBand="0" w:evenHBand="0" w:firstRowFirstColumn="0" w:firstRowLastColumn="0" w:lastRowFirstColumn="0" w:lastRowLastColumn="0"/>
          <w:trHeight w:val="126"/>
        </w:trPr>
        <w:tc>
          <w:tcPr>
            <w:cnfStyle w:val="001000000000" w:firstRow="0" w:lastRow="0" w:firstColumn="1" w:lastColumn="0" w:oddVBand="0" w:evenVBand="0" w:oddHBand="0" w:evenHBand="0" w:firstRowFirstColumn="0" w:firstRowLastColumn="0" w:lastRowFirstColumn="0" w:lastRowLastColumn="0"/>
            <w:tcW w:w="1990" w:type="dxa"/>
            <w:noWrap/>
            <w:vAlign w:val="center"/>
            <w:hideMark/>
          </w:tcPr>
          <w:p w14:paraId="3EF1FFEA" w14:textId="77777777" w:rsidR="00BA1E77" w:rsidRPr="0082797B" w:rsidRDefault="00BA1E77" w:rsidP="00C70998">
            <w:pPr>
              <w:pStyle w:val="JRCTableBoxtitle"/>
              <w:jc w:val="left"/>
              <w:rPr>
                <w:b/>
                <w:bCs/>
              </w:rPr>
            </w:pPr>
            <w:r w:rsidRPr="0082797B">
              <w:rPr>
                <w:b/>
                <w:bCs/>
              </w:rPr>
              <w:t>S3 priorities</w:t>
            </w:r>
          </w:p>
        </w:tc>
        <w:tc>
          <w:tcPr>
            <w:tcW w:w="1702" w:type="dxa"/>
            <w:noWrap/>
            <w:vAlign w:val="center"/>
            <w:hideMark/>
          </w:tcPr>
          <w:p w14:paraId="64F39197" w14:textId="77777777" w:rsidR="00BA1E77" w:rsidRPr="0082797B" w:rsidRDefault="00BA1E77" w:rsidP="00C70998">
            <w:pPr>
              <w:pStyle w:val="JRCTableBoxtitle"/>
              <w:jc w:val="left"/>
              <w:cnfStyle w:val="100000000000" w:firstRow="1" w:lastRow="0" w:firstColumn="0" w:lastColumn="0" w:oddVBand="0" w:evenVBand="0" w:oddHBand="0" w:evenHBand="0" w:firstRowFirstColumn="0" w:firstRowLastColumn="0" w:lastRowFirstColumn="0" w:lastRowLastColumn="0"/>
              <w:rPr>
                <w:b/>
                <w:bCs/>
              </w:rPr>
            </w:pPr>
            <w:r w:rsidRPr="0082797B">
              <w:rPr>
                <w:b/>
                <w:bCs/>
              </w:rPr>
              <w:t>Collaborative Innovation Projects 2019-2021</w:t>
            </w:r>
          </w:p>
        </w:tc>
        <w:tc>
          <w:tcPr>
            <w:tcW w:w="1701" w:type="dxa"/>
            <w:noWrap/>
            <w:vAlign w:val="center"/>
            <w:hideMark/>
          </w:tcPr>
          <w:p w14:paraId="6F254909" w14:textId="77777777" w:rsidR="00BA1E77" w:rsidRPr="0082797B" w:rsidRDefault="00BA1E77" w:rsidP="00C70998">
            <w:pPr>
              <w:pStyle w:val="JRCTableBoxtitle"/>
              <w:jc w:val="left"/>
              <w:cnfStyle w:val="100000000000" w:firstRow="1" w:lastRow="0" w:firstColumn="0" w:lastColumn="0" w:oddVBand="0" w:evenVBand="0" w:oddHBand="0" w:evenHBand="0" w:firstRowFirstColumn="0" w:firstRowLastColumn="0" w:lastRowFirstColumn="0" w:lastRowLastColumn="0"/>
              <w:rPr>
                <w:b/>
                <w:bCs/>
              </w:rPr>
            </w:pPr>
            <w:r w:rsidRPr="0082797B">
              <w:rPr>
                <w:b/>
                <w:bCs/>
              </w:rPr>
              <w:t>Early-stage start-ups 2021</w:t>
            </w:r>
          </w:p>
        </w:tc>
        <w:tc>
          <w:tcPr>
            <w:tcW w:w="1701" w:type="dxa"/>
            <w:noWrap/>
            <w:vAlign w:val="center"/>
            <w:hideMark/>
          </w:tcPr>
          <w:p w14:paraId="046FCFCA" w14:textId="77777777" w:rsidR="00BA1E77" w:rsidRPr="0082797B" w:rsidRDefault="00BA1E77" w:rsidP="00C70998">
            <w:pPr>
              <w:pStyle w:val="JRCTableBoxtitle"/>
              <w:jc w:val="left"/>
              <w:cnfStyle w:val="100000000000" w:firstRow="1" w:lastRow="0" w:firstColumn="0" w:lastColumn="0" w:oddVBand="0" w:evenVBand="0" w:oddHBand="0" w:evenHBand="0" w:firstRowFirstColumn="0" w:firstRowLastColumn="0" w:lastRowFirstColumn="0" w:lastRowLastColumn="0"/>
              <w:rPr>
                <w:b/>
                <w:bCs/>
              </w:rPr>
            </w:pPr>
            <w:r w:rsidRPr="0082797B">
              <w:rPr>
                <w:b/>
                <w:bCs/>
              </w:rPr>
              <w:t>Early-stage start-ups 2022</w:t>
            </w:r>
          </w:p>
        </w:tc>
        <w:tc>
          <w:tcPr>
            <w:tcW w:w="1731" w:type="dxa"/>
            <w:noWrap/>
            <w:vAlign w:val="center"/>
            <w:hideMark/>
          </w:tcPr>
          <w:p w14:paraId="5083330D" w14:textId="77777777" w:rsidR="00BA1E77" w:rsidRPr="0082797B" w:rsidRDefault="00BA1E77" w:rsidP="00C70998">
            <w:pPr>
              <w:pStyle w:val="JRCTableBoxtitle"/>
              <w:jc w:val="left"/>
              <w:cnfStyle w:val="100000000000" w:firstRow="1" w:lastRow="0" w:firstColumn="0" w:lastColumn="0" w:oddVBand="0" w:evenVBand="0" w:oddHBand="0" w:evenHBand="0" w:firstRowFirstColumn="0" w:firstRowLastColumn="0" w:lastRowFirstColumn="0" w:lastRowLastColumn="0"/>
              <w:rPr>
                <w:b/>
                <w:bCs/>
              </w:rPr>
            </w:pPr>
            <w:r w:rsidRPr="0082797B">
              <w:rPr>
                <w:b/>
                <w:bCs/>
              </w:rPr>
              <w:t>Pre-acceleration programme 2019(2)/2021(3)</w:t>
            </w:r>
          </w:p>
        </w:tc>
        <w:tc>
          <w:tcPr>
            <w:tcW w:w="828" w:type="dxa"/>
            <w:noWrap/>
            <w:vAlign w:val="center"/>
            <w:hideMark/>
          </w:tcPr>
          <w:p w14:paraId="544A5C2D" w14:textId="77777777" w:rsidR="00BA1E77" w:rsidRPr="0082797B" w:rsidRDefault="00BA1E77" w:rsidP="00C70998">
            <w:pPr>
              <w:pStyle w:val="JRCTableBoxtitle"/>
              <w:jc w:val="left"/>
              <w:cnfStyle w:val="100000000000" w:firstRow="1" w:lastRow="0" w:firstColumn="0" w:lastColumn="0" w:oddVBand="0" w:evenVBand="0" w:oddHBand="0" w:evenHBand="0" w:firstRowFirstColumn="0" w:firstRowLastColumn="0" w:lastRowFirstColumn="0" w:lastRowLastColumn="0"/>
              <w:rPr>
                <w:b/>
                <w:bCs/>
              </w:rPr>
            </w:pPr>
            <w:r w:rsidRPr="0082797B">
              <w:rPr>
                <w:b/>
                <w:bCs/>
              </w:rPr>
              <w:t>Total</w:t>
            </w:r>
          </w:p>
        </w:tc>
      </w:tr>
      <w:tr w:rsidR="00BA1E77" w:rsidRPr="00C62602" w14:paraId="16160CBD" w14:textId="77777777" w:rsidTr="00C70998">
        <w:trPr>
          <w:trHeight w:val="126"/>
        </w:trPr>
        <w:tc>
          <w:tcPr>
            <w:cnfStyle w:val="001000000000" w:firstRow="0" w:lastRow="0" w:firstColumn="1" w:lastColumn="0" w:oddVBand="0" w:evenVBand="0" w:oddHBand="0" w:evenHBand="0" w:firstRowFirstColumn="0" w:firstRowLastColumn="0" w:lastRowFirstColumn="0" w:lastRowLastColumn="0"/>
            <w:tcW w:w="1990" w:type="dxa"/>
            <w:noWrap/>
            <w:vAlign w:val="center"/>
            <w:hideMark/>
          </w:tcPr>
          <w:p w14:paraId="15F30A5E" w14:textId="77777777" w:rsidR="00BA1E77" w:rsidRPr="00C62602" w:rsidRDefault="00BA1E77" w:rsidP="00C70998">
            <w:pPr>
              <w:pStyle w:val="JRCTabletext10pt"/>
              <w:rPr>
                <w:b w:val="0"/>
                <w:bCs/>
              </w:rPr>
            </w:pPr>
            <w:r w:rsidRPr="00C62602">
              <w:rPr>
                <w:bCs/>
              </w:rPr>
              <w:t>All S3 areas</w:t>
            </w:r>
          </w:p>
        </w:tc>
        <w:tc>
          <w:tcPr>
            <w:tcW w:w="1702" w:type="dxa"/>
            <w:noWrap/>
            <w:vAlign w:val="center"/>
            <w:hideMark/>
          </w:tcPr>
          <w:p w14:paraId="27E164BC"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rPr>
                <w:bCs/>
              </w:rPr>
            </w:pPr>
          </w:p>
        </w:tc>
        <w:tc>
          <w:tcPr>
            <w:tcW w:w="1701" w:type="dxa"/>
            <w:noWrap/>
            <w:vAlign w:val="center"/>
            <w:hideMark/>
          </w:tcPr>
          <w:p w14:paraId="0CE236B3"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p>
        </w:tc>
        <w:tc>
          <w:tcPr>
            <w:tcW w:w="1701" w:type="dxa"/>
            <w:noWrap/>
            <w:vAlign w:val="center"/>
            <w:hideMark/>
          </w:tcPr>
          <w:p w14:paraId="5D591F8E"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p>
        </w:tc>
        <w:tc>
          <w:tcPr>
            <w:tcW w:w="1731" w:type="dxa"/>
            <w:noWrap/>
            <w:vAlign w:val="center"/>
            <w:hideMark/>
          </w:tcPr>
          <w:p w14:paraId="3F1C8312"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0</w:t>
            </w:r>
            <w:r>
              <w:t>.</w:t>
            </w:r>
            <w:r w:rsidRPr="00C62602">
              <w:t>3</w:t>
            </w:r>
            <w:r>
              <w:t>1</w:t>
            </w:r>
          </w:p>
        </w:tc>
        <w:tc>
          <w:tcPr>
            <w:tcW w:w="828" w:type="dxa"/>
            <w:noWrap/>
            <w:vAlign w:val="center"/>
            <w:hideMark/>
          </w:tcPr>
          <w:p w14:paraId="43DD2660"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rPr>
                <w:bCs/>
              </w:rPr>
            </w:pPr>
            <w:r w:rsidRPr="00C62602">
              <w:t>0</w:t>
            </w:r>
            <w:r>
              <w:t>.</w:t>
            </w:r>
            <w:r w:rsidRPr="00C62602">
              <w:t>3</w:t>
            </w:r>
            <w:r>
              <w:t>1</w:t>
            </w:r>
          </w:p>
        </w:tc>
      </w:tr>
      <w:tr w:rsidR="00BA1E77" w:rsidRPr="00C62602" w14:paraId="0C34C458" w14:textId="77777777" w:rsidTr="00C70998">
        <w:trPr>
          <w:trHeight w:val="256"/>
        </w:trPr>
        <w:tc>
          <w:tcPr>
            <w:cnfStyle w:val="001000000000" w:firstRow="0" w:lastRow="0" w:firstColumn="1" w:lastColumn="0" w:oddVBand="0" w:evenVBand="0" w:oddHBand="0" w:evenHBand="0" w:firstRowFirstColumn="0" w:firstRowLastColumn="0" w:lastRowFirstColumn="0" w:lastRowLastColumn="0"/>
            <w:tcW w:w="1990" w:type="dxa"/>
            <w:noWrap/>
            <w:vAlign w:val="center"/>
            <w:hideMark/>
          </w:tcPr>
          <w:p w14:paraId="66F37CA9" w14:textId="77777777" w:rsidR="00BA1E77" w:rsidRPr="00C62602" w:rsidRDefault="00BA1E77" w:rsidP="00C70998">
            <w:pPr>
              <w:pStyle w:val="JRCTabletext10pt"/>
              <w:rPr>
                <w:b w:val="0"/>
                <w:bCs/>
              </w:rPr>
            </w:pPr>
            <w:r w:rsidRPr="00C62602">
              <w:rPr>
                <w:bCs/>
              </w:rPr>
              <w:t>Energy and Sustainable Environment</w:t>
            </w:r>
          </w:p>
        </w:tc>
        <w:tc>
          <w:tcPr>
            <w:tcW w:w="1702" w:type="dxa"/>
            <w:noWrap/>
            <w:vAlign w:val="center"/>
            <w:hideMark/>
          </w:tcPr>
          <w:p w14:paraId="26023C9B"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0</w:t>
            </w:r>
            <w:r>
              <w:t>.</w:t>
            </w:r>
            <w:r w:rsidRPr="00C62602">
              <w:t>26</w:t>
            </w:r>
          </w:p>
        </w:tc>
        <w:tc>
          <w:tcPr>
            <w:tcW w:w="1701" w:type="dxa"/>
            <w:noWrap/>
            <w:vAlign w:val="center"/>
            <w:hideMark/>
          </w:tcPr>
          <w:p w14:paraId="3EDBDEA6"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p>
        </w:tc>
        <w:tc>
          <w:tcPr>
            <w:tcW w:w="1701" w:type="dxa"/>
            <w:noWrap/>
            <w:vAlign w:val="center"/>
            <w:hideMark/>
          </w:tcPr>
          <w:p w14:paraId="13F96611"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p>
        </w:tc>
        <w:tc>
          <w:tcPr>
            <w:tcW w:w="1731" w:type="dxa"/>
            <w:noWrap/>
            <w:vAlign w:val="center"/>
            <w:hideMark/>
          </w:tcPr>
          <w:p w14:paraId="61CD52E5"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p>
        </w:tc>
        <w:tc>
          <w:tcPr>
            <w:tcW w:w="828" w:type="dxa"/>
            <w:noWrap/>
            <w:vAlign w:val="center"/>
            <w:hideMark/>
          </w:tcPr>
          <w:p w14:paraId="1CF2084A"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rPr>
                <w:bCs/>
              </w:rPr>
            </w:pPr>
            <w:r w:rsidRPr="00C62602">
              <w:t>0</w:t>
            </w:r>
            <w:r>
              <w:t>.</w:t>
            </w:r>
            <w:r w:rsidRPr="00C62602">
              <w:t>26</w:t>
            </w:r>
          </w:p>
        </w:tc>
      </w:tr>
      <w:tr w:rsidR="00BA1E77" w:rsidRPr="00C62602" w14:paraId="65FF507F" w14:textId="77777777" w:rsidTr="00C70998">
        <w:trPr>
          <w:trHeight w:val="126"/>
        </w:trPr>
        <w:tc>
          <w:tcPr>
            <w:cnfStyle w:val="001000000000" w:firstRow="0" w:lastRow="0" w:firstColumn="1" w:lastColumn="0" w:oddVBand="0" w:evenVBand="0" w:oddHBand="0" w:evenHBand="0" w:firstRowFirstColumn="0" w:firstRowLastColumn="0" w:lastRowFirstColumn="0" w:lastRowLastColumn="0"/>
            <w:tcW w:w="1990" w:type="dxa"/>
            <w:noWrap/>
            <w:vAlign w:val="center"/>
            <w:hideMark/>
          </w:tcPr>
          <w:p w14:paraId="5F5D260E" w14:textId="77777777" w:rsidR="00BA1E77" w:rsidRPr="00C62602" w:rsidRDefault="00BA1E77" w:rsidP="00C70998">
            <w:pPr>
              <w:pStyle w:val="JRCTabletext10pt"/>
              <w:rPr>
                <w:b w:val="0"/>
                <w:bCs/>
              </w:rPr>
            </w:pPr>
            <w:r w:rsidRPr="00C62602">
              <w:rPr>
                <w:bCs/>
              </w:rPr>
              <w:t>ICT/Sustainable Agriculture and Food Value Chain</w:t>
            </w:r>
          </w:p>
        </w:tc>
        <w:tc>
          <w:tcPr>
            <w:tcW w:w="1702" w:type="dxa"/>
            <w:noWrap/>
            <w:vAlign w:val="center"/>
            <w:hideMark/>
          </w:tcPr>
          <w:p w14:paraId="1389C8DF"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0</w:t>
            </w:r>
            <w:r>
              <w:t>.</w:t>
            </w:r>
            <w:r w:rsidRPr="00C62602">
              <w:t>09</w:t>
            </w:r>
          </w:p>
        </w:tc>
        <w:tc>
          <w:tcPr>
            <w:tcW w:w="1701" w:type="dxa"/>
            <w:noWrap/>
            <w:vAlign w:val="center"/>
            <w:hideMark/>
          </w:tcPr>
          <w:p w14:paraId="27EBC810"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p>
        </w:tc>
        <w:tc>
          <w:tcPr>
            <w:tcW w:w="1701" w:type="dxa"/>
            <w:noWrap/>
            <w:vAlign w:val="center"/>
            <w:hideMark/>
          </w:tcPr>
          <w:p w14:paraId="1B66D85E"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0</w:t>
            </w:r>
            <w:r>
              <w:t>.</w:t>
            </w:r>
            <w:r w:rsidRPr="00C62602">
              <w:t>03</w:t>
            </w:r>
          </w:p>
        </w:tc>
        <w:tc>
          <w:tcPr>
            <w:tcW w:w="1731" w:type="dxa"/>
            <w:noWrap/>
            <w:vAlign w:val="center"/>
            <w:hideMark/>
          </w:tcPr>
          <w:p w14:paraId="53875DB9"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p>
        </w:tc>
        <w:tc>
          <w:tcPr>
            <w:tcW w:w="828" w:type="dxa"/>
            <w:noWrap/>
            <w:vAlign w:val="center"/>
            <w:hideMark/>
          </w:tcPr>
          <w:p w14:paraId="0B23584E"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rPr>
                <w:bCs/>
              </w:rPr>
            </w:pPr>
            <w:r w:rsidRPr="00C62602">
              <w:t>0</w:t>
            </w:r>
            <w:r>
              <w:t>.</w:t>
            </w:r>
            <w:r w:rsidRPr="00C62602">
              <w:t>12</w:t>
            </w:r>
          </w:p>
        </w:tc>
      </w:tr>
      <w:tr w:rsidR="00BA1E77" w:rsidRPr="00C62602" w14:paraId="7A453647" w14:textId="77777777" w:rsidTr="00C70998">
        <w:trPr>
          <w:trHeight w:val="126"/>
        </w:trPr>
        <w:tc>
          <w:tcPr>
            <w:cnfStyle w:val="001000000000" w:firstRow="0" w:lastRow="0" w:firstColumn="1" w:lastColumn="0" w:oddVBand="0" w:evenVBand="0" w:oddHBand="0" w:evenHBand="0" w:firstRowFirstColumn="0" w:firstRowLastColumn="0" w:lastRowFirstColumn="0" w:lastRowLastColumn="0"/>
            <w:tcW w:w="1990" w:type="dxa"/>
            <w:noWrap/>
            <w:vAlign w:val="center"/>
            <w:hideMark/>
          </w:tcPr>
          <w:p w14:paraId="0EBFFFC4" w14:textId="77777777" w:rsidR="00BA1E77" w:rsidRPr="00C62602" w:rsidRDefault="00BA1E77" w:rsidP="00C70998">
            <w:pPr>
              <w:pStyle w:val="JRCTabletext10pt"/>
              <w:rPr>
                <w:b w:val="0"/>
                <w:bCs/>
              </w:rPr>
            </w:pPr>
            <w:r w:rsidRPr="00C62602">
              <w:rPr>
                <w:bCs/>
              </w:rPr>
              <w:t>Information and communication technologies</w:t>
            </w:r>
          </w:p>
        </w:tc>
        <w:tc>
          <w:tcPr>
            <w:tcW w:w="1702" w:type="dxa"/>
            <w:noWrap/>
            <w:vAlign w:val="center"/>
            <w:hideMark/>
          </w:tcPr>
          <w:p w14:paraId="76C3BDB1"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1</w:t>
            </w:r>
            <w:r>
              <w:t>.</w:t>
            </w:r>
            <w:r w:rsidRPr="00C62602">
              <w:t>33</w:t>
            </w:r>
          </w:p>
        </w:tc>
        <w:tc>
          <w:tcPr>
            <w:tcW w:w="1701" w:type="dxa"/>
            <w:noWrap/>
            <w:vAlign w:val="center"/>
            <w:hideMark/>
          </w:tcPr>
          <w:p w14:paraId="4E51380B"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0</w:t>
            </w:r>
            <w:r>
              <w:t>.</w:t>
            </w:r>
            <w:r w:rsidRPr="00C62602">
              <w:t>22</w:t>
            </w:r>
          </w:p>
        </w:tc>
        <w:tc>
          <w:tcPr>
            <w:tcW w:w="1701" w:type="dxa"/>
            <w:noWrap/>
            <w:vAlign w:val="center"/>
            <w:hideMark/>
          </w:tcPr>
          <w:p w14:paraId="1CDFEADF"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0</w:t>
            </w:r>
            <w:r>
              <w:t>.</w:t>
            </w:r>
            <w:r w:rsidRPr="00C62602">
              <w:t>17</w:t>
            </w:r>
          </w:p>
        </w:tc>
        <w:tc>
          <w:tcPr>
            <w:tcW w:w="1731" w:type="dxa"/>
            <w:noWrap/>
            <w:vAlign w:val="center"/>
            <w:hideMark/>
          </w:tcPr>
          <w:p w14:paraId="55421D90"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p>
        </w:tc>
        <w:tc>
          <w:tcPr>
            <w:tcW w:w="828" w:type="dxa"/>
            <w:noWrap/>
            <w:vAlign w:val="center"/>
            <w:hideMark/>
          </w:tcPr>
          <w:p w14:paraId="64751220"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rPr>
                <w:bCs/>
              </w:rPr>
            </w:pPr>
            <w:r w:rsidRPr="00C62602">
              <w:t>1</w:t>
            </w:r>
            <w:r>
              <w:t>.</w:t>
            </w:r>
            <w:r w:rsidRPr="00C62602">
              <w:t>7</w:t>
            </w:r>
            <w:r>
              <w:t>2</w:t>
            </w:r>
          </w:p>
        </w:tc>
      </w:tr>
      <w:tr w:rsidR="00BA1E77" w:rsidRPr="00C62602" w14:paraId="7CBB8613" w14:textId="77777777" w:rsidTr="00C70998">
        <w:trPr>
          <w:trHeight w:val="126"/>
        </w:trPr>
        <w:tc>
          <w:tcPr>
            <w:cnfStyle w:val="001000000000" w:firstRow="0" w:lastRow="0" w:firstColumn="1" w:lastColumn="0" w:oddVBand="0" w:evenVBand="0" w:oddHBand="0" w:evenHBand="0" w:firstRowFirstColumn="0" w:firstRowLastColumn="0" w:lastRowFirstColumn="0" w:lastRowLastColumn="0"/>
            <w:tcW w:w="1990" w:type="dxa"/>
            <w:noWrap/>
            <w:vAlign w:val="center"/>
            <w:hideMark/>
          </w:tcPr>
          <w:p w14:paraId="4C404E22" w14:textId="77777777" w:rsidR="00BA1E77" w:rsidRPr="00C62602" w:rsidRDefault="00BA1E77" w:rsidP="00C70998">
            <w:pPr>
              <w:pStyle w:val="JRCTabletext10pt"/>
              <w:rPr>
                <w:b w:val="0"/>
                <w:bCs/>
              </w:rPr>
            </w:pPr>
            <w:r w:rsidRPr="00C62602">
              <w:rPr>
                <w:bCs/>
              </w:rPr>
              <w:lastRenderedPageBreak/>
              <w:t>Sustainable Agriculture and Food Value Chain</w:t>
            </w:r>
          </w:p>
        </w:tc>
        <w:tc>
          <w:tcPr>
            <w:tcW w:w="1702" w:type="dxa"/>
            <w:noWrap/>
            <w:vAlign w:val="center"/>
            <w:hideMark/>
          </w:tcPr>
          <w:p w14:paraId="5A02506E"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0</w:t>
            </w:r>
            <w:r>
              <w:t>.</w:t>
            </w:r>
            <w:r w:rsidRPr="00C62602">
              <w:t>41</w:t>
            </w:r>
          </w:p>
        </w:tc>
        <w:tc>
          <w:tcPr>
            <w:tcW w:w="1701" w:type="dxa"/>
            <w:noWrap/>
            <w:vAlign w:val="center"/>
            <w:hideMark/>
          </w:tcPr>
          <w:p w14:paraId="25D48340"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p>
        </w:tc>
        <w:tc>
          <w:tcPr>
            <w:tcW w:w="1701" w:type="dxa"/>
            <w:noWrap/>
            <w:vAlign w:val="center"/>
            <w:hideMark/>
          </w:tcPr>
          <w:p w14:paraId="64BBE851"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0</w:t>
            </w:r>
            <w:r>
              <w:t>.</w:t>
            </w:r>
            <w:r w:rsidRPr="00C62602">
              <w:t>02</w:t>
            </w:r>
          </w:p>
        </w:tc>
        <w:tc>
          <w:tcPr>
            <w:tcW w:w="1731" w:type="dxa"/>
            <w:noWrap/>
            <w:vAlign w:val="center"/>
            <w:hideMark/>
          </w:tcPr>
          <w:p w14:paraId="17CC62DD"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p>
        </w:tc>
        <w:tc>
          <w:tcPr>
            <w:tcW w:w="828" w:type="dxa"/>
            <w:noWrap/>
            <w:vAlign w:val="center"/>
            <w:hideMark/>
          </w:tcPr>
          <w:p w14:paraId="16F9804B"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rPr>
                <w:bCs/>
              </w:rPr>
            </w:pPr>
            <w:r w:rsidRPr="00C62602">
              <w:t>0</w:t>
            </w:r>
            <w:r>
              <w:t>.</w:t>
            </w:r>
            <w:r w:rsidRPr="00C62602">
              <w:t>43</w:t>
            </w:r>
          </w:p>
        </w:tc>
      </w:tr>
      <w:tr w:rsidR="00BA1E77" w:rsidRPr="00C62602" w14:paraId="31BC9356" w14:textId="77777777" w:rsidTr="00C70998">
        <w:trPr>
          <w:trHeight w:val="126"/>
        </w:trPr>
        <w:tc>
          <w:tcPr>
            <w:cnfStyle w:val="001000000000" w:firstRow="0" w:lastRow="0" w:firstColumn="1" w:lastColumn="0" w:oddVBand="0" w:evenVBand="0" w:oddHBand="0" w:evenHBand="0" w:firstRowFirstColumn="0" w:firstRowLastColumn="0" w:lastRowFirstColumn="0" w:lastRowLastColumn="0"/>
            <w:tcW w:w="1990" w:type="dxa"/>
            <w:noWrap/>
            <w:vAlign w:val="center"/>
            <w:hideMark/>
          </w:tcPr>
          <w:p w14:paraId="41137605" w14:textId="77777777" w:rsidR="00BA1E77" w:rsidRPr="00C62602" w:rsidRDefault="00BA1E77" w:rsidP="00C70998">
            <w:pPr>
              <w:pStyle w:val="JRCTabletext10pt"/>
              <w:rPr>
                <w:b w:val="0"/>
                <w:bCs/>
              </w:rPr>
            </w:pPr>
            <w:r w:rsidRPr="00C62602">
              <w:rPr>
                <w:bCs/>
              </w:rPr>
              <w:t>Sustainable and Health Tourism</w:t>
            </w:r>
          </w:p>
        </w:tc>
        <w:tc>
          <w:tcPr>
            <w:tcW w:w="1702" w:type="dxa"/>
            <w:noWrap/>
            <w:vAlign w:val="center"/>
            <w:hideMark/>
          </w:tcPr>
          <w:p w14:paraId="22A3860B"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rPr>
                <w:bCs/>
              </w:rPr>
            </w:pPr>
          </w:p>
        </w:tc>
        <w:tc>
          <w:tcPr>
            <w:tcW w:w="1701" w:type="dxa"/>
            <w:noWrap/>
            <w:vAlign w:val="center"/>
            <w:hideMark/>
          </w:tcPr>
          <w:p w14:paraId="765A20DF"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0</w:t>
            </w:r>
            <w:r>
              <w:t>.</w:t>
            </w:r>
            <w:r w:rsidRPr="00C62602">
              <w:t>03</w:t>
            </w:r>
          </w:p>
        </w:tc>
        <w:tc>
          <w:tcPr>
            <w:tcW w:w="1701" w:type="dxa"/>
            <w:noWrap/>
            <w:vAlign w:val="center"/>
            <w:hideMark/>
          </w:tcPr>
          <w:p w14:paraId="7AABF2C9"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0</w:t>
            </w:r>
            <w:r>
              <w:t>.</w:t>
            </w:r>
            <w:r w:rsidRPr="00C62602">
              <w:t>02</w:t>
            </w:r>
          </w:p>
        </w:tc>
        <w:tc>
          <w:tcPr>
            <w:tcW w:w="1731" w:type="dxa"/>
            <w:noWrap/>
            <w:vAlign w:val="center"/>
            <w:hideMark/>
          </w:tcPr>
          <w:p w14:paraId="318DF8E4"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p>
        </w:tc>
        <w:tc>
          <w:tcPr>
            <w:tcW w:w="828" w:type="dxa"/>
            <w:noWrap/>
            <w:vAlign w:val="center"/>
            <w:hideMark/>
          </w:tcPr>
          <w:p w14:paraId="2E91FDA6"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rPr>
                <w:bCs/>
              </w:rPr>
            </w:pPr>
            <w:r w:rsidRPr="00C62602">
              <w:t>0</w:t>
            </w:r>
            <w:r>
              <w:t>.</w:t>
            </w:r>
            <w:r w:rsidRPr="00C62602">
              <w:t>05</w:t>
            </w:r>
          </w:p>
        </w:tc>
      </w:tr>
      <w:tr w:rsidR="00BA1E77" w:rsidRPr="00C62602" w14:paraId="465673AB" w14:textId="77777777" w:rsidTr="00C70998">
        <w:trPr>
          <w:trHeight w:val="126"/>
        </w:trPr>
        <w:tc>
          <w:tcPr>
            <w:cnfStyle w:val="001000000000" w:firstRow="0" w:lastRow="0" w:firstColumn="1" w:lastColumn="0" w:oddVBand="0" w:evenVBand="0" w:oddHBand="0" w:evenHBand="0" w:firstRowFirstColumn="0" w:firstRowLastColumn="0" w:lastRowFirstColumn="0" w:lastRowLastColumn="0"/>
            <w:tcW w:w="1990" w:type="dxa"/>
            <w:noWrap/>
            <w:vAlign w:val="center"/>
            <w:hideMark/>
          </w:tcPr>
          <w:p w14:paraId="2A6D0F67" w14:textId="77777777" w:rsidR="00BA1E77" w:rsidRPr="00C62602" w:rsidRDefault="00BA1E77" w:rsidP="00C70998">
            <w:pPr>
              <w:pStyle w:val="JRCTabletext10pt"/>
              <w:rPr>
                <w:b w:val="0"/>
                <w:bCs/>
              </w:rPr>
            </w:pPr>
            <w:r w:rsidRPr="00C62602">
              <w:rPr>
                <w:bCs/>
              </w:rPr>
              <w:t>Total</w:t>
            </w:r>
          </w:p>
        </w:tc>
        <w:tc>
          <w:tcPr>
            <w:tcW w:w="1702" w:type="dxa"/>
            <w:noWrap/>
            <w:vAlign w:val="center"/>
            <w:hideMark/>
          </w:tcPr>
          <w:p w14:paraId="34F4AEFF"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rPr>
                <w:bCs/>
              </w:rPr>
            </w:pPr>
            <w:r w:rsidRPr="00C62602">
              <w:rPr>
                <w:bCs/>
              </w:rPr>
              <w:t>2</w:t>
            </w:r>
            <w:r>
              <w:rPr>
                <w:bCs/>
              </w:rPr>
              <w:t>.</w:t>
            </w:r>
            <w:r w:rsidRPr="00C62602">
              <w:rPr>
                <w:bCs/>
              </w:rPr>
              <w:t>0</w:t>
            </w:r>
            <w:r>
              <w:rPr>
                <w:bCs/>
              </w:rPr>
              <w:t>9</w:t>
            </w:r>
          </w:p>
        </w:tc>
        <w:tc>
          <w:tcPr>
            <w:tcW w:w="1701" w:type="dxa"/>
            <w:noWrap/>
            <w:vAlign w:val="center"/>
            <w:hideMark/>
          </w:tcPr>
          <w:p w14:paraId="29EA388A"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rPr>
                <w:bCs/>
              </w:rPr>
            </w:pPr>
            <w:r w:rsidRPr="00C62602">
              <w:rPr>
                <w:bCs/>
              </w:rPr>
              <w:t>0</w:t>
            </w:r>
            <w:r>
              <w:rPr>
                <w:bCs/>
              </w:rPr>
              <w:t>.</w:t>
            </w:r>
            <w:r w:rsidRPr="00C62602">
              <w:rPr>
                <w:bCs/>
              </w:rPr>
              <w:t>25</w:t>
            </w:r>
          </w:p>
        </w:tc>
        <w:tc>
          <w:tcPr>
            <w:tcW w:w="1701" w:type="dxa"/>
            <w:noWrap/>
            <w:vAlign w:val="center"/>
            <w:hideMark/>
          </w:tcPr>
          <w:p w14:paraId="1987E00D"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rPr>
                <w:bCs/>
              </w:rPr>
            </w:pPr>
            <w:r w:rsidRPr="00C62602">
              <w:rPr>
                <w:bCs/>
              </w:rPr>
              <w:t>0</w:t>
            </w:r>
            <w:r>
              <w:rPr>
                <w:bCs/>
              </w:rPr>
              <w:t>.</w:t>
            </w:r>
            <w:r w:rsidRPr="00C62602">
              <w:rPr>
                <w:bCs/>
              </w:rPr>
              <w:t>2</w:t>
            </w:r>
            <w:r>
              <w:rPr>
                <w:bCs/>
              </w:rPr>
              <w:t>4</w:t>
            </w:r>
          </w:p>
        </w:tc>
        <w:tc>
          <w:tcPr>
            <w:tcW w:w="1731" w:type="dxa"/>
            <w:noWrap/>
            <w:vAlign w:val="center"/>
            <w:hideMark/>
          </w:tcPr>
          <w:p w14:paraId="0CAB0501"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rPr>
                <w:bCs/>
              </w:rPr>
            </w:pPr>
            <w:r w:rsidRPr="00C62602">
              <w:rPr>
                <w:bCs/>
              </w:rPr>
              <w:t>0</w:t>
            </w:r>
            <w:r>
              <w:rPr>
                <w:bCs/>
              </w:rPr>
              <w:t>.</w:t>
            </w:r>
            <w:r w:rsidRPr="00C62602">
              <w:rPr>
                <w:bCs/>
              </w:rPr>
              <w:t>3</w:t>
            </w:r>
            <w:r>
              <w:rPr>
                <w:bCs/>
              </w:rPr>
              <w:t>1</w:t>
            </w:r>
          </w:p>
        </w:tc>
        <w:tc>
          <w:tcPr>
            <w:tcW w:w="828" w:type="dxa"/>
            <w:noWrap/>
            <w:vAlign w:val="center"/>
            <w:hideMark/>
          </w:tcPr>
          <w:p w14:paraId="17EBA645"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rPr>
                <w:bCs/>
              </w:rPr>
            </w:pPr>
            <w:r w:rsidRPr="00C62602">
              <w:rPr>
                <w:bCs/>
              </w:rPr>
              <w:t>2</w:t>
            </w:r>
            <w:r>
              <w:rPr>
                <w:bCs/>
              </w:rPr>
              <w:t>.</w:t>
            </w:r>
            <w:r w:rsidRPr="00C62602">
              <w:rPr>
                <w:bCs/>
              </w:rPr>
              <w:t>8</w:t>
            </w:r>
            <w:r>
              <w:rPr>
                <w:bCs/>
              </w:rPr>
              <w:t>9</w:t>
            </w:r>
          </w:p>
        </w:tc>
      </w:tr>
    </w:tbl>
    <w:p w14:paraId="7DA02F59" w14:textId="77777777" w:rsidR="00BA1E77" w:rsidRPr="00296D10" w:rsidRDefault="00BA1E77" w:rsidP="00BA1E77">
      <w:pPr>
        <w:pStyle w:val="JRCTablesource"/>
      </w:pPr>
      <w:r w:rsidRPr="00296D10">
        <w:rPr>
          <w:b/>
          <w:bCs/>
        </w:rPr>
        <w:t>Source:</w:t>
      </w:r>
      <w:r w:rsidRPr="00296D10">
        <w:t xml:space="preserve"> Ministry of Education, Science and Innovation</w:t>
      </w:r>
    </w:p>
    <w:p w14:paraId="05456D6F" w14:textId="77777777" w:rsidR="00BA1E77" w:rsidRPr="00DB00D1" w:rsidRDefault="00BA1E77" w:rsidP="00BA1E77">
      <w:pPr>
        <w:pStyle w:val="JRCText"/>
      </w:pPr>
    </w:p>
    <w:p w14:paraId="5383F7CA" w14:textId="77777777" w:rsidR="00BA1E77" w:rsidRPr="00DB00D1" w:rsidRDefault="00BA1E77" w:rsidP="00BA1E77">
      <w:pPr>
        <w:pStyle w:val="JRCText"/>
        <w:rPr>
          <w:rFonts w:eastAsia="Times New Roman"/>
          <w:iCs/>
          <w:sz w:val="24"/>
        </w:rPr>
      </w:pPr>
      <w:r w:rsidRPr="00DB00D1">
        <w:rPr>
          <w:rFonts w:eastAsia="Times New Roman"/>
          <w:iCs/>
          <w:sz w:val="24"/>
        </w:rPr>
        <w:t>Analysing the place distribution of funds, it appears evident how Podgorica, without surprise, attracts almost 72% of the total innovation funds, followed by remarkable distance by Nikšić (12%) and Bar (7%) (see Table 14).</w:t>
      </w:r>
    </w:p>
    <w:p w14:paraId="08C5F0A1" w14:textId="77777777" w:rsidR="00BA1E77" w:rsidRPr="00DB00D1" w:rsidRDefault="00BA1E77" w:rsidP="00BA1E77">
      <w:pPr>
        <w:pStyle w:val="JRCTabletitle"/>
      </w:pPr>
      <w:bookmarkStart w:id="97" w:name="_Toc220938966"/>
      <w:bookmarkStart w:id="98" w:name="_Toc221271676"/>
      <w:r w:rsidRPr="00C62602">
        <w:rPr>
          <w:b/>
          <w:bCs/>
        </w:rPr>
        <w:t xml:space="preserve">Table </w:t>
      </w:r>
      <w:r w:rsidRPr="00C62602">
        <w:rPr>
          <w:b/>
          <w:bCs/>
        </w:rPr>
        <w:fldChar w:fldCharType="begin"/>
      </w:r>
      <w:r w:rsidRPr="00C62602">
        <w:rPr>
          <w:b/>
          <w:bCs/>
        </w:rPr>
        <w:instrText xml:space="preserve"> SEQ Table \* ARABIC </w:instrText>
      </w:r>
      <w:r w:rsidRPr="00C62602">
        <w:rPr>
          <w:b/>
          <w:bCs/>
        </w:rPr>
        <w:fldChar w:fldCharType="separate"/>
      </w:r>
      <w:r>
        <w:rPr>
          <w:b/>
          <w:bCs/>
          <w:noProof/>
        </w:rPr>
        <w:t>14</w:t>
      </w:r>
      <w:r w:rsidRPr="00C62602">
        <w:rPr>
          <w:b/>
          <w:bCs/>
        </w:rPr>
        <w:fldChar w:fldCharType="end"/>
      </w:r>
      <w:r>
        <w:rPr>
          <w:b/>
          <w:bCs/>
        </w:rPr>
        <w:t>.</w:t>
      </w:r>
      <w:r w:rsidRPr="00DB00D1">
        <w:t xml:space="preserve"> Financing received by location for each project category (</w:t>
      </w:r>
      <w:r>
        <w:rPr>
          <w:color w:val="000000"/>
        </w:rPr>
        <w:t>EUR</w:t>
      </w:r>
      <w:r w:rsidRPr="00DB00D1">
        <w:rPr>
          <w:sz w:val="18"/>
        </w:rPr>
        <w:t xml:space="preserve"> </w:t>
      </w:r>
      <w:r w:rsidRPr="00DB00D1">
        <w:t>million)</w:t>
      </w:r>
      <w:bookmarkEnd w:id="97"/>
      <w:bookmarkEnd w:id="98"/>
    </w:p>
    <w:tbl>
      <w:tblPr>
        <w:tblStyle w:val="JRCTableBasic"/>
        <w:tblW w:w="9669" w:type="dxa"/>
        <w:tblLayout w:type="fixed"/>
        <w:tblLook w:val="04A0" w:firstRow="1" w:lastRow="0" w:firstColumn="1" w:lastColumn="0" w:noHBand="0" w:noVBand="1"/>
      </w:tblPr>
      <w:tblGrid>
        <w:gridCol w:w="1129"/>
        <w:gridCol w:w="1928"/>
        <w:gridCol w:w="1928"/>
        <w:gridCol w:w="1928"/>
        <w:gridCol w:w="1928"/>
        <w:gridCol w:w="828"/>
      </w:tblGrid>
      <w:tr w:rsidR="00BA1E77" w:rsidRPr="00C62602" w14:paraId="65DE76DE" w14:textId="77777777" w:rsidTr="00C70998">
        <w:trPr>
          <w:cnfStyle w:val="100000000000" w:firstRow="1" w:lastRow="0" w:firstColumn="0" w:lastColumn="0" w:oddVBand="0" w:evenVBand="0" w:oddHBand="0" w:evenHBand="0" w:firstRowFirstColumn="0" w:firstRowLastColumn="0" w:lastRowFirstColumn="0" w:lastRowLastColumn="0"/>
          <w:trHeight w:val="258"/>
        </w:trPr>
        <w:tc>
          <w:tcPr>
            <w:cnfStyle w:val="001000000000" w:firstRow="0" w:lastRow="0" w:firstColumn="1" w:lastColumn="0" w:oddVBand="0" w:evenVBand="0" w:oddHBand="0" w:evenHBand="0" w:firstRowFirstColumn="0" w:firstRowLastColumn="0" w:lastRowFirstColumn="0" w:lastRowLastColumn="0"/>
            <w:tcW w:w="1129" w:type="dxa"/>
            <w:noWrap/>
            <w:vAlign w:val="center"/>
            <w:hideMark/>
          </w:tcPr>
          <w:p w14:paraId="2CAD07B6" w14:textId="77777777" w:rsidR="00BA1E77" w:rsidRPr="0004055E" w:rsidRDefault="00BA1E77" w:rsidP="00C70998">
            <w:pPr>
              <w:pStyle w:val="JRCTableBoxtitle"/>
              <w:jc w:val="left"/>
              <w:rPr>
                <w:b/>
                <w:bCs/>
              </w:rPr>
            </w:pPr>
            <w:r w:rsidRPr="0004055E">
              <w:rPr>
                <w:b/>
                <w:bCs/>
              </w:rPr>
              <w:t>Location</w:t>
            </w:r>
          </w:p>
        </w:tc>
        <w:tc>
          <w:tcPr>
            <w:tcW w:w="1928" w:type="dxa"/>
            <w:noWrap/>
            <w:vAlign w:val="center"/>
            <w:hideMark/>
          </w:tcPr>
          <w:p w14:paraId="050DA5F1" w14:textId="77777777" w:rsidR="00BA1E77" w:rsidRPr="0004055E" w:rsidRDefault="00BA1E77" w:rsidP="00C70998">
            <w:pPr>
              <w:pStyle w:val="JRCTableBoxtitle"/>
              <w:jc w:val="left"/>
              <w:cnfStyle w:val="100000000000" w:firstRow="1" w:lastRow="0" w:firstColumn="0" w:lastColumn="0" w:oddVBand="0" w:evenVBand="0" w:oddHBand="0" w:evenHBand="0" w:firstRowFirstColumn="0" w:firstRowLastColumn="0" w:lastRowFirstColumn="0" w:lastRowLastColumn="0"/>
              <w:rPr>
                <w:b/>
                <w:bCs/>
              </w:rPr>
            </w:pPr>
            <w:r w:rsidRPr="0004055E">
              <w:rPr>
                <w:b/>
                <w:bCs/>
              </w:rPr>
              <w:t>Collaborative Innovation Projects 2019-2021</w:t>
            </w:r>
          </w:p>
        </w:tc>
        <w:tc>
          <w:tcPr>
            <w:tcW w:w="1928" w:type="dxa"/>
            <w:noWrap/>
            <w:vAlign w:val="center"/>
            <w:hideMark/>
          </w:tcPr>
          <w:p w14:paraId="77A3B356" w14:textId="77777777" w:rsidR="00BA1E77" w:rsidRPr="0004055E" w:rsidRDefault="00BA1E77" w:rsidP="00C70998">
            <w:pPr>
              <w:pStyle w:val="JRCTableBoxtitle"/>
              <w:jc w:val="left"/>
              <w:cnfStyle w:val="100000000000" w:firstRow="1" w:lastRow="0" w:firstColumn="0" w:lastColumn="0" w:oddVBand="0" w:evenVBand="0" w:oddHBand="0" w:evenHBand="0" w:firstRowFirstColumn="0" w:firstRowLastColumn="0" w:lastRowFirstColumn="0" w:lastRowLastColumn="0"/>
              <w:rPr>
                <w:b/>
                <w:bCs/>
              </w:rPr>
            </w:pPr>
            <w:r w:rsidRPr="0004055E">
              <w:rPr>
                <w:b/>
                <w:bCs/>
              </w:rPr>
              <w:t>Early-stage start-ups 2021</w:t>
            </w:r>
          </w:p>
        </w:tc>
        <w:tc>
          <w:tcPr>
            <w:tcW w:w="1928" w:type="dxa"/>
            <w:noWrap/>
            <w:vAlign w:val="center"/>
            <w:hideMark/>
          </w:tcPr>
          <w:p w14:paraId="5E23F190" w14:textId="77777777" w:rsidR="00BA1E77" w:rsidRPr="0004055E" w:rsidRDefault="00BA1E77" w:rsidP="00C70998">
            <w:pPr>
              <w:pStyle w:val="JRCTableBoxtitle"/>
              <w:jc w:val="left"/>
              <w:cnfStyle w:val="100000000000" w:firstRow="1" w:lastRow="0" w:firstColumn="0" w:lastColumn="0" w:oddVBand="0" w:evenVBand="0" w:oddHBand="0" w:evenHBand="0" w:firstRowFirstColumn="0" w:firstRowLastColumn="0" w:lastRowFirstColumn="0" w:lastRowLastColumn="0"/>
              <w:rPr>
                <w:b/>
                <w:bCs/>
              </w:rPr>
            </w:pPr>
            <w:r w:rsidRPr="0004055E">
              <w:rPr>
                <w:b/>
                <w:bCs/>
              </w:rPr>
              <w:t>Early-stage start-ups 2022</w:t>
            </w:r>
          </w:p>
        </w:tc>
        <w:tc>
          <w:tcPr>
            <w:tcW w:w="1928" w:type="dxa"/>
            <w:noWrap/>
            <w:vAlign w:val="center"/>
            <w:hideMark/>
          </w:tcPr>
          <w:p w14:paraId="23F6FCF4" w14:textId="77777777" w:rsidR="00BA1E77" w:rsidRPr="0004055E" w:rsidRDefault="00BA1E77" w:rsidP="00C70998">
            <w:pPr>
              <w:pStyle w:val="JRCTableBoxtitle"/>
              <w:jc w:val="left"/>
              <w:cnfStyle w:val="100000000000" w:firstRow="1" w:lastRow="0" w:firstColumn="0" w:lastColumn="0" w:oddVBand="0" w:evenVBand="0" w:oddHBand="0" w:evenHBand="0" w:firstRowFirstColumn="0" w:firstRowLastColumn="0" w:lastRowFirstColumn="0" w:lastRowLastColumn="0"/>
              <w:rPr>
                <w:b/>
                <w:bCs/>
              </w:rPr>
            </w:pPr>
            <w:r w:rsidRPr="0004055E">
              <w:rPr>
                <w:b/>
                <w:bCs/>
              </w:rPr>
              <w:t>Pre-acceleration programme 2019(2)/2021(3)</w:t>
            </w:r>
          </w:p>
        </w:tc>
        <w:tc>
          <w:tcPr>
            <w:tcW w:w="828" w:type="dxa"/>
            <w:noWrap/>
            <w:vAlign w:val="center"/>
            <w:hideMark/>
          </w:tcPr>
          <w:p w14:paraId="5552D5BC" w14:textId="77777777" w:rsidR="00BA1E77" w:rsidRPr="0004055E" w:rsidRDefault="00BA1E77" w:rsidP="00C70998">
            <w:pPr>
              <w:pStyle w:val="JRCTableBoxtitle"/>
              <w:jc w:val="left"/>
              <w:cnfStyle w:val="100000000000" w:firstRow="1" w:lastRow="0" w:firstColumn="0" w:lastColumn="0" w:oddVBand="0" w:evenVBand="0" w:oddHBand="0" w:evenHBand="0" w:firstRowFirstColumn="0" w:firstRowLastColumn="0" w:lastRowFirstColumn="0" w:lastRowLastColumn="0"/>
              <w:rPr>
                <w:b/>
                <w:bCs/>
              </w:rPr>
            </w:pPr>
            <w:r w:rsidRPr="0004055E">
              <w:rPr>
                <w:b/>
                <w:bCs/>
              </w:rPr>
              <w:t>Total</w:t>
            </w:r>
          </w:p>
        </w:tc>
      </w:tr>
      <w:tr w:rsidR="00BA1E77" w:rsidRPr="00C62602" w14:paraId="04A793E5" w14:textId="77777777" w:rsidTr="00C70998">
        <w:trPr>
          <w:trHeight w:val="258"/>
        </w:trPr>
        <w:tc>
          <w:tcPr>
            <w:cnfStyle w:val="001000000000" w:firstRow="0" w:lastRow="0" w:firstColumn="1" w:lastColumn="0" w:oddVBand="0" w:evenVBand="0" w:oddHBand="0" w:evenHBand="0" w:firstRowFirstColumn="0" w:firstRowLastColumn="0" w:lastRowFirstColumn="0" w:lastRowLastColumn="0"/>
            <w:tcW w:w="1129" w:type="dxa"/>
            <w:noWrap/>
            <w:vAlign w:val="center"/>
            <w:hideMark/>
          </w:tcPr>
          <w:p w14:paraId="2283203B" w14:textId="77777777" w:rsidR="00BA1E77" w:rsidRPr="00C62602" w:rsidRDefault="00BA1E77" w:rsidP="00C70998">
            <w:pPr>
              <w:pStyle w:val="JRCTabletext10pt"/>
              <w:rPr>
                <w:b w:val="0"/>
              </w:rPr>
            </w:pPr>
            <w:r w:rsidRPr="00C62602">
              <w:t>Bar</w:t>
            </w:r>
          </w:p>
        </w:tc>
        <w:tc>
          <w:tcPr>
            <w:tcW w:w="1928" w:type="dxa"/>
            <w:noWrap/>
            <w:vAlign w:val="center"/>
            <w:hideMark/>
          </w:tcPr>
          <w:p w14:paraId="1B783B65"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0</w:t>
            </w:r>
            <w:r>
              <w:t>.</w:t>
            </w:r>
            <w:r w:rsidRPr="00C62602">
              <w:t>22</w:t>
            </w:r>
          </w:p>
        </w:tc>
        <w:tc>
          <w:tcPr>
            <w:tcW w:w="1928" w:type="dxa"/>
            <w:noWrap/>
            <w:vAlign w:val="center"/>
            <w:hideMark/>
          </w:tcPr>
          <w:p w14:paraId="6E8B61DD"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p>
        </w:tc>
        <w:tc>
          <w:tcPr>
            <w:tcW w:w="1928" w:type="dxa"/>
            <w:noWrap/>
            <w:vAlign w:val="center"/>
            <w:hideMark/>
          </w:tcPr>
          <w:p w14:paraId="743642C2"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p>
        </w:tc>
        <w:tc>
          <w:tcPr>
            <w:tcW w:w="1928" w:type="dxa"/>
            <w:noWrap/>
            <w:vAlign w:val="center"/>
            <w:hideMark/>
          </w:tcPr>
          <w:p w14:paraId="60AC06D5"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p>
        </w:tc>
        <w:tc>
          <w:tcPr>
            <w:tcW w:w="828" w:type="dxa"/>
            <w:noWrap/>
            <w:vAlign w:val="center"/>
            <w:hideMark/>
          </w:tcPr>
          <w:p w14:paraId="428F0B0C"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0</w:t>
            </w:r>
            <w:r>
              <w:t>.</w:t>
            </w:r>
            <w:r w:rsidRPr="00C62602">
              <w:t>22</w:t>
            </w:r>
          </w:p>
        </w:tc>
      </w:tr>
      <w:tr w:rsidR="00BA1E77" w:rsidRPr="00C62602" w14:paraId="57650162" w14:textId="77777777" w:rsidTr="00C70998">
        <w:trPr>
          <w:trHeight w:val="258"/>
        </w:trPr>
        <w:tc>
          <w:tcPr>
            <w:cnfStyle w:val="001000000000" w:firstRow="0" w:lastRow="0" w:firstColumn="1" w:lastColumn="0" w:oddVBand="0" w:evenVBand="0" w:oddHBand="0" w:evenHBand="0" w:firstRowFirstColumn="0" w:firstRowLastColumn="0" w:lastRowFirstColumn="0" w:lastRowLastColumn="0"/>
            <w:tcW w:w="1129" w:type="dxa"/>
            <w:noWrap/>
            <w:vAlign w:val="center"/>
            <w:hideMark/>
          </w:tcPr>
          <w:p w14:paraId="2BE16513" w14:textId="77777777" w:rsidR="00BA1E77" w:rsidRPr="00C62602" w:rsidRDefault="00BA1E77" w:rsidP="00C70998">
            <w:pPr>
              <w:pStyle w:val="JRCTabletext10pt"/>
              <w:rPr>
                <w:b w:val="0"/>
              </w:rPr>
            </w:pPr>
            <w:proofErr w:type="spellStart"/>
            <w:r w:rsidRPr="00C62602">
              <w:t>Berane</w:t>
            </w:r>
            <w:proofErr w:type="spellEnd"/>
          </w:p>
        </w:tc>
        <w:tc>
          <w:tcPr>
            <w:tcW w:w="1928" w:type="dxa"/>
            <w:noWrap/>
            <w:vAlign w:val="center"/>
            <w:hideMark/>
          </w:tcPr>
          <w:p w14:paraId="00EF5C2E"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0</w:t>
            </w:r>
            <w:r>
              <w:t>.</w:t>
            </w:r>
            <w:r w:rsidRPr="00C62602">
              <w:t>11</w:t>
            </w:r>
          </w:p>
        </w:tc>
        <w:tc>
          <w:tcPr>
            <w:tcW w:w="1928" w:type="dxa"/>
            <w:noWrap/>
            <w:vAlign w:val="center"/>
            <w:hideMark/>
          </w:tcPr>
          <w:p w14:paraId="79AFEEC1"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p>
        </w:tc>
        <w:tc>
          <w:tcPr>
            <w:tcW w:w="1928" w:type="dxa"/>
            <w:noWrap/>
            <w:vAlign w:val="center"/>
            <w:hideMark/>
          </w:tcPr>
          <w:p w14:paraId="6D675C18"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0</w:t>
            </w:r>
            <w:r>
              <w:t>.</w:t>
            </w:r>
            <w:r w:rsidRPr="00C62602">
              <w:t>03</w:t>
            </w:r>
          </w:p>
        </w:tc>
        <w:tc>
          <w:tcPr>
            <w:tcW w:w="1928" w:type="dxa"/>
            <w:noWrap/>
            <w:vAlign w:val="center"/>
            <w:hideMark/>
          </w:tcPr>
          <w:p w14:paraId="3145055F"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p>
        </w:tc>
        <w:tc>
          <w:tcPr>
            <w:tcW w:w="828" w:type="dxa"/>
            <w:noWrap/>
            <w:vAlign w:val="center"/>
            <w:hideMark/>
          </w:tcPr>
          <w:p w14:paraId="3FEBE2B5"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0</w:t>
            </w:r>
            <w:r>
              <w:t>.</w:t>
            </w:r>
            <w:r w:rsidRPr="00C62602">
              <w:t>1</w:t>
            </w:r>
            <w:r>
              <w:t>4</w:t>
            </w:r>
          </w:p>
        </w:tc>
      </w:tr>
      <w:tr w:rsidR="00BA1E77" w:rsidRPr="00C62602" w14:paraId="1DB1DCC4" w14:textId="77777777" w:rsidTr="00C70998">
        <w:trPr>
          <w:trHeight w:val="258"/>
        </w:trPr>
        <w:tc>
          <w:tcPr>
            <w:cnfStyle w:val="001000000000" w:firstRow="0" w:lastRow="0" w:firstColumn="1" w:lastColumn="0" w:oddVBand="0" w:evenVBand="0" w:oddHBand="0" w:evenHBand="0" w:firstRowFirstColumn="0" w:firstRowLastColumn="0" w:lastRowFirstColumn="0" w:lastRowLastColumn="0"/>
            <w:tcW w:w="1129" w:type="dxa"/>
            <w:noWrap/>
            <w:vAlign w:val="center"/>
            <w:hideMark/>
          </w:tcPr>
          <w:p w14:paraId="58F2FF51" w14:textId="77777777" w:rsidR="00BA1E77" w:rsidRPr="00C62602" w:rsidRDefault="00BA1E77" w:rsidP="00C70998">
            <w:pPr>
              <w:pStyle w:val="JRCTabletext10pt"/>
              <w:rPr>
                <w:b w:val="0"/>
              </w:rPr>
            </w:pPr>
            <w:proofErr w:type="spellStart"/>
            <w:r w:rsidRPr="00C62602">
              <w:t>Bijelo</w:t>
            </w:r>
            <w:proofErr w:type="spellEnd"/>
            <w:r w:rsidRPr="00C62602">
              <w:t xml:space="preserve"> </w:t>
            </w:r>
            <w:r>
              <w:t>P</w:t>
            </w:r>
            <w:r w:rsidRPr="00C62602">
              <w:t>olje</w:t>
            </w:r>
          </w:p>
        </w:tc>
        <w:tc>
          <w:tcPr>
            <w:tcW w:w="1928" w:type="dxa"/>
            <w:noWrap/>
            <w:vAlign w:val="center"/>
            <w:hideMark/>
          </w:tcPr>
          <w:p w14:paraId="7D39A3C8"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p>
        </w:tc>
        <w:tc>
          <w:tcPr>
            <w:tcW w:w="1928" w:type="dxa"/>
            <w:noWrap/>
            <w:vAlign w:val="center"/>
            <w:hideMark/>
          </w:tcPr>
          <w:p w14:paraId="274D3C4C"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0</w:t>
            </w:r>
            <w:r>
              <w:t>.</w:t>
            </w:r>
            <w:r w:rsidRPr="00C62602">
              <w:t>02</w:t>
            </w:r>
          </w:p>
        </w:tc>
        <w:tc>
          <w:tcPr>
            <w:tcW w:w="1928" w:type="dxa"/>
            <w:noWrap/>
            <w:vAlign w:val="center"/>
            <w:hideMark/>
          </w:tcPr>
          <w:p w14:paraId="590F0733"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p>
        </w:tc>
        <w:tc>
          <w:tcPr>
            <w:tcW w:w="1928" w:type="dxa"/>
            <w:noWrap/>
            <w:vAlign w:val="center"/>
            <w:hideMark/>
          </w:tcPr>
          <w:p w14:paraId="30941655"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p>
        </w:tc>
        <w:tc>
          <w:tcPr>
            <w:tcW w:w="828" w:type="dxa"/>
            <w:noWrap/>
            <w:vAlign w:val="center"/>
            <w:hideMark/>
          </w:tcPr>
          <w:p w14:paraId="3C297673"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0</w:t>
            </w:r>
            <w:r>
              <w:t>.</w:t>
            </w:r>
            <w:r w:rsidRPr="00C62602">
              <w:t>02</w:t>
            </w:r>
          </w:p>
        </w:tc>
      </w:tr>
      <w:tr w:rsidR="00BA1E77" w:rsidRPr="00C62602" w14:paraId="66563619" w14:textId="77777777" w:rsidTr="00C70998">
        <w:trPr>
          <w:trHeight w:val="258"/>
        </w:trPr>
        <w:tc>
          <w:tcPr>
            <w:cnfStyle w:val="001000000000" w:firstRow="0" w:lastRow="0" w:firstColumn="1" w:lastColumn="0" w:oddVBand="0" w:evenVBand="0" w:oddHBand="0" w:evenHBand="0" w:firstRowFirstColumn="0" w:firstRowLastColumn="0" w:lastRowFirstColumn="0" w:lastRowLastColumn="0"/>
            <w:tcW w:w="1129" w:type="dxa"/>
            <w:noWrap/>
            <w:vAlign w:val="center"/>
            <w:hideMark/>
          </w:tcPr>
          <w:p w14:paraId="4B6F0D84" w14:textId="77777777" w:rsidR="00BA1E77" w:rsidRPr="00C62602" w:rsidRDefault="00BA1E77" w:rsidP="00C70998">
            <w:pPr>
              <w:pStyle w:val="JRCTabletext10pt"/>
              <w:rPr>
                <w:b w:val="0"/>
              </w:rPr>
            </w:pPr>
            <w:r w:rsidRPr="00C62602">
              <w:t>Herceg Novi</w:t>
            </w:r>
          </w:p>
        </w:tc>
        <w:tc>
          <w:tcPr>
            <w:tcW w:w="1928" w:type="dxa"/>
            <w:noWrap/>
            <w:vAlign w:val="center"/>
            <w:hideMark/>
          </w:tcPr>
          <w:p w14:paraId="7E665146"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p>
        </w:tc>
        <w:tc>
          <w:tcPr>
            <w:tcW w:w="1928" w:type="dxa"/>
            <w:noWrap/>
            <w:vAlign w:val="center"/>
            <w:hideMark/>
          </w:tcPr>
          <w:p w14:paraId="3648DFD8"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0</w:t>
            </w:r>
            <w:r>
              <w:t>.</w:t>
            </w:r>
            <w:r w:rsidRPr="00C62602">
              <w:t>02</w:t>
            </w:r>
          </w:p>
        </w:tc>
        <w:tc>
          <w:tcPr>
            <w:tcW w:w="1928" w:type="dxa"/>
            <w:noWrap/>
            <w:vAlign w:val="center"/>
            <w:hideMark/>
          </w:tcPr>
          <w:p w14:paraId="24C02D39"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p>
        </w:tc>
        <w:tc>
          <w:tcPr>
            <w:tcW w:w="1928" w:type="dxa"/>
            <w:noWrap/>
            <w:vAlign w:val="center"/>
            <w:hideMark/>
          </w:tcPr>
          <w:p w14:paraId="7B93AFAE"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p>
        </w:tc>
        <w:tc>
          <w:tcPr>
            <w:tcW w:w="828" w:type="dxa"/>
            <w:noWrap/>
            <w:vAlign w:val="center"/>
            <w:hideMark/>
          </w:tcPr>
          <w:p w14:paraId="6BC7AD74"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0</w:t>
            </w:r>
            <w:r>
              <w:t>.</w:t>
            </w:r>
            <w:r w:rsidRPr="00C62602">
              <w:t>02</w:t>
            </w:r>
          </w:p>
        </w:tc>
      </w:tr>
      <w:tr w:rsidR="00BA1E77" w:rsidRPr="00C62602" w14:paraId="141EAB2A" w14:textId="77777777" w:rsidTr="00C70998">
        <w:trPr>
          <w:trHeight w:val="258"/>
        </w:trPr>
        <w:tc>
          <w:tcPr>
            <w:cnfStyle w:val="001000000000" w:firstRow="0" w:lastRow="0" w:firstColumn="1" w:lastColumn="0" w:oddVBand="0" w:evenVBand="0" w:oddHBand="0" w:evenHBand="0" w:firstRowFirstColumn="0" w:firstRowLastColumn="0" w:lastRowFirstColumn="0" w:lastRowLastColumn="0"/>
            <w:tcW w:w="1129" w:type="dxa"/>
            <w:noWrap/>
            <w:vAlign w:val="center"/>
            <w:hideMark/>
          </w:tcPr>
          <w:p w14:paraId="146639C5" w14:textId="77777777" w:rsidR="00BA1E77" w:rsidRPr="00C62602" w:rsidRDefault="00BA1E77" w:rsidP="00C70998">
            <w:pPr>
              <w:pStyle w:val="JRCTabletext10pt"/>
              <w:rPr>
                <w:b w:val="0"/>
              </w:rPr>
            </w:pPr>
            <w:proofErr w:type="spellStart"/>
            <w:r w:rsidRPr="00C62602">
              <w:t>Kolašin</w:t>
            </w:r>
            <w:proofErr w:type="spellEnd"/>
          </w:p>
        </w:tc>
        <w:tc>
          <w:tcPr>
            <w:tcW w:w="1928" w:type="dxa"/>
            <w:noWrap/>
            <w:vAlign w:val="center"/>
            <w:hideMark/>
          </w:tcPr>
          <w:p w14:paraId="30C3087E"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p>
        </w:tc>
        <w:tc>
          <w:tcPr>
            <w:tcW w:w="1928" w:type="dxa"/>
            <w:noWrap/>
            <w:vAlign w:val="center"/>
            <w:hideMark/>
          </w:tcPr>
          <w:p w14:paraId="4529A004"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0</w:t>
            </w:r>
            <w:r>
              <w:t>.</w:t>
            </w:r>
            <w:r w:rsidRPr="00C62602">
              <w:t>02</w:t>
            </w:r>
          </w:p>
        </w:tc>
        <w:tc>
          <w:tcPr>
            <w:tcW w:w="1928" w:type="dxa"/>
            <w:noWrap/>
            <w:vAlign w:val="center"/>
            <w:hideMark/>
          </w:tcPr>
          <w:p w14:paraId="68EC95EA"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p>
        </w:tc>
        <w:tc>
          <w:tcPr>
            <w:tcW w:w="1928" w:type="dxa"/>
            <w:noWrap/>
            <w:vAlign w:val="center"/>
            <w:hideMark/>
          </w:tcPr>
          <w:p w14:paraId="57401164"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p>
        </w:tc>
        <w:tc>
          <w:tcPr>
            <w:tcW w:w="828" w:type="dxa"/>
            <w:noWrap/>
            <w:vAlign w:val="center"/>
            <w:hideMark/>
          </w:tcPr>
          <w:p w14:paraId="4FE80BEF"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0</w:t>
            </w:r>
            <w:r>
              <w:t>.</w:t>
            </w:r>
            <w:r w:rsidRPr="00C62602">
              <w:t>02</w:t>
            </w:r>
          </w:p>
        </w:tc>
      </w:tr>
      <w:tr w:rsidR="00BA1E77" w:rsidRPr="00C62602" w14:paraId="69A9E82E" w14:textId="77777777" w:rsidTr="00C70998">
        <w:trPr>
          <w:trHeight w:val="258"/>
        </w:trPr>
        <w:tc>
          <w:tcPr>
            <w:cnfStyle w:val="001000000000" w:firstRow="0" w:lastRow="0" w:firstColumn="1" w:lastColumn="0" w:oddVBand="0" w:evenVBand="0" w:oddHBand="0" w:evenHBand="0" w:firstRowFirstColumn="0" w:firstRowLastColumn="0" w:lastRowFirstColumn="0" w:lastRowLastColumn="0"/>
            <w:tcW w:w="1129" w:type="dxa"/>
            <w:noWrap/>
            <w:vAlign w:val="center"/>
            <w:hideMark/>
          </w:tcPr>
          <w:p w14:paraId="77992DD7" w14:textId="77777777" w:rsidR="00BA1E77" w:rsidRPr="00C62602" w:rsidRDefault="00BA1E77" w:rsidP="00C70998">
            <w:pPr>
              <w:pStyle w:val="JRCTabletext10pt"/>
              <w:rPr>
                <w:b w:val="0"/>
              </w:rPr>
            </w:pPr>
            <w:r w:rsidRPr="00C62602">
              <w:t>Nikšić</w:t>
            </w:r>
          </w:p>
        </w:tc>
        <w:tc>
          <w:tcPr>
            <w:tcW w:w="1928" w:type="dxa"/>
            <w:noWrap/>
            <w:vAlign w:val="center"/>
            <w:hideMark/>
          </w:tcPr>
          <w:p w14:paraId="4A808B2A"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0</w:t>
            </w:r>
            <w:r>
              <w:t>.</w:t>
            </w:r>
            <w:r w:rsidRPr="00C62602">
              <w:t>15</w:t>
            </w:r>
          </w:p>
        </w:tc>
        <w:tc>
          <w:tcPr>
            <w:tcW w:w="1928" w:type="dxa"/>
            <w:noWrap/>
            <w:vAlign w:val="center"/>
            <w:hideMark/>
          </w:tcPr>
          <w:p w14:paraId="4067A00D"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0</w:t>
            </w:r>
            <w:r>
              <w:t>.</w:t>
            </w:r>
            <w:r w:rsidRPr="00C62602">
              <w:t>02</w:t>
            </w:r>
          </w:p>
        </w:tc>
        <w:tc>
          <w:tcPr>
            <w:tcW w:w="1928" w:type="dxa"/>
            <w:noWrap/>
            <w:vAlign w:val="center"/>
            <w:hideMark/>
          </w:tcPr>
          <w:p w14:paraId="6273EBBC"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p>
        </w:tc>
        <w:tc>
          <w:tcPr>
            <w:tcW w:w="1928" w:type="dxa"/>
            <w:noWrap/>
            <w:vAlign w:val="center"/>
            <w:hideMark/>
          </w:tcPr>
          <w:p w14:paraId="14278369"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0</w:t>
            </w:r>
            <w:r>
              <w:t>.</w:t>
            </w:r>
            <w:r w:rsidRPr="00C62602">
              <w:t>19</w:t>
            </w:r>
          </w:p>
        </w:tc>
        <w:tc>
          <w:tcPr>
            <w:tcW w:w="828" w:type="dxa"/>
            <w:noWrap/>
            <w:vAlign w:val="center"/>
            <w:hideMark/>
          </w:tcPr>
          <w:p w14:paraId="4AE90D24"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0</w:t>
            </w:r>
            <w:r>
              <w:t>.</w:t>
            </w:r>
            <w:r w:rsidRPr="00C62602">
              <w:t>36</w:t>
            </w:r>
          </w:p>
        </w:tc>
      </w:tr>
      <w:tr w:rsidR="00BA1E77" w:rsidRPr="00C62602" w14:paraId="7E072ED4" w14:textId="77777777" w:rsidTr="00C70998">
        <w:trPr>
          <w:trHeight w:val="258"/>
        </w:trPr>
        <w:tc>
          <w:tcPr>
            <w:cnfStyle w:val="001000000000" w:firstRow="0" w:lastRow="0" w:firstColumn="1" w:lastColumn="0" w:oddVBand="0" w:evenVBand="0" w:oddHBand="0" w:evenHBand="0" w:firstRowFirstColumn="0" w:firstRowLastColumn="0" w:lastRowFirstColumn="0" w:lastRowLastColumn="0"/>
            <w:tcW w:w="1129" w:type="dxa"/>
            <w:noWrap/>
            <w:vAlign w:val="center"/>
            <w:hideMark/>
          </w:tcPr>
          <w:p w14:paraId="363D1F34" w14:textId="77777777" w:rsidR="00BA1E77" w:rsidRPr="00C62602" w:rsidRDefault="00BA1E77" w:rsidP="00C70998">
            <w:pPr>
              <w:pStyle w:val="JRCTabletext10pt"/>
              <w:rPr>
                <w:b w:val="0"/>
              </w:rPr>
            </w:pPr>
            <w:proofErr w:type="spellStart"/>
            <w:r w:rsidRPr="00C62602">
              <w:t>Pljevlja</w:t>
            </w:r>
            <w:proofErr w:type="spellEnd"/>
          </w:p>
        </w:tc>
        <w:tc>
          <w:tcPr>
            <w:tcW w:w="1928" w:type="dxa"/>
            <w:noWrap/>
            <w:vAlign w:val="center"/>
            <w:hideMark/>
          </w:tcPr>
          <w:p w14:paraId="61E2D658"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p>
        </w:tc>
        <w:tc>
          <w:tcPr>
            <w:tcW w:w="1928" w:type="dxa"/>
            <w:noWrap/>
            <w:vAlign w:val="center"/>
            <w:hideMark/>
          </w:tcPr>
          <w:p w14:paraId="5645E09C"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0</w:t>
            </w:r>
            <w:r>
              <w:t>.</w:t>
            </w:r>
            <w:r w:rsidRPr="00C62602">
              <w:t>01</w:t>
            </w:r>
          </w:p>
        </w:tc>
        <w:tc>
          <w:tcPr>
            <w:tcW w:w="1928" w:type="dxa"/>
            <w:noWrap/>
            <w:vAlign w:val="center"/>
            <w:hideMark/>
          </w:tcPr>
          <w:p w14:paraId="51C69710"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p>
        </w:tc>
        <w:tc>
          <w:tcPr>
            <w:tcW w:w="1928" w:type="dxa"/>
            <w:noWrap/>
            <w:vAlign w:val="center"/>
            <w:hideMark/>
          </w:tcPr>
          <w:p w14:paraId="4A9E2B36"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p>
        </w:tc>
        <w:tc>
          <w:tcPr>
            <w:tcW w:w="828" w:type="dxa"/>
            <w:noWrap/>
            <w:vAlign w:val="center"/>
            <w:hideMark/>
          </w:tcPr>
          <w:p w14:paraId="30EC8DC3"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0</w:t>
            </w:r>
            <w:r>
              <w:t>.</w:t>
            </w:r>
            <w:r w:rsidRPr="00C62602">
              <w:t>01</w:t>
            </w:r>
          </w:p>
        </w:tc>
      </w:tr>
      <w:tr w:rsidR="00BA1E77" w:rsidRPr="00C62602" w14:paraId="12581F90" w14:textId="77777777" w:rsidTr="00C70998">
        <w:trPr>
          <w:trHeight w:val="258"/>
        </w:trPr>
        <w:tc>
          <w:tcPr>
            <w:cnfStyle w:val="001000000000" w:firstRow="0" w:lastRow="0" w:firstColumn="1" w:lastColumn="0" w:oddVBand="0" w:evenVBand="0" w:oddHBand="0" w:evenHBand="0" w:firstRowFirstColumn="0" w:firstRowLastColumn="0" w:lastRowFirstColumn="0" w:lastRowLastColumn="0"/>
            <w:tcW w:w="1129" w:type="dxa"/>
            <w:noWrap/>
            <w:vAlign w:val="center"/>
            <w:hideMark/>
          </w:tcPr>
          <w:p w14:paraId="749C75AC" w14:textId="77777777" w:rsidR="00BA1E77" w:rsidRPr="00C62602" w:rsidRDefault="00BA1E77" w:rsidP="00C70998">
            <w:pPr>
              <w:pStyle w:val="JRCTabletext10pt"/>
              <w:rPr>
                <w:b w:val="0"/>
              </w:rPr>
            </w:pPr>
            <w:r w:rsidRPr="00C62602">
              <w:t>Podgorica</w:t>
            </w:r>
          </w:p>
        </w:tc>
        <w:tc>
          <w:tcPr>
            <w:tcW w:w="1928" w:type="dxa"/>
            <w:noWrap/>
            <w:vAlign w:val="center"/>
            <w:hideMark/>
          </w:tcPr>
          <w:p w14:paraId="315B2EA9"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1</w:t>
            </w:r>
            <w:r>
              <w:t>.</w:t>
            </w:r>
            <w:r w:rsidRPr="00C62602">
              <w:t>6</w:t>
            </w:r>
            <w:r>
              <w:t>2</w:t>
            </w:r>
          </w:p>
        </w:tc>
        <w:tc>
          <w:tcPr>
            <w:tcW w:w="1928" w:type="dxa"/>
            <w:noWrap/>
            <w:vAlign w:val="center"/>
            <w:hideMark/>
          </w:tcPr>
          <w:p w14:paraId="1219E7E2"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0</w:t>
            </w:r>
            <w:r>
              <w:t>.</w:t>
            </w:r>
            <w:r w:rsidRPr="00C62602">
              <w:t>15</w:t>
            </w:r>
          </w:p>
        </w:tc>
        <w:tc>
          <w:tcPr>
            <w:tcW w:w="1928" w:type="dxa"/>
            <w:noWrap/>
            <w:vAlign w:val="center"/>
            <w:hideMark/>
          </w:tcPr>
          <w:p w14:paraId="06E17E74"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0</w:t>
            </w:r>
            <w:r>
              <w:t>.</w:t>
            </w:r>
            <w:r w:rsidRPr="00C62602">
              <w:t>18</w:t>
            </w:r>
          </w:p>
        </w:tc>
        <w:tc>
          <w:tcPr>
            <w:tcW w:w="1928" w:type="dxa"/>
            <w:noWrap/>
            <w:vAlign w:val="center"/>
            <w:hideMark/>
          </w:tcPr>
          <w:p w14:paraId="13BCE835"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0</w:t>
            </w:r>
            <w:r>
              <w:t>.</w:t>
            </w:r>
            <w:r w:rsidRPr="00C62602">
              <w:t>13</w:t>
            </w:r>
          </w:p>
        </w:tc>
        <w:tc>
          <w:tcPr>
            <w:tcW w:w="828" w:type="dxa"/>
            <w:noWrap/>
            <w:vAlign w:val="center"/>
            <w:hideMark/>
          </w:tcPr>
          <w:p w14:paraId="5124F858"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2</w:t>
            </w:r>
            <w:r>
              <w:t>.</w:t>
            </w:r>
            <w:r w:rsidRPr="00C62602">
              <w:t>0</w:t>
            </w:r>
            <w:r>
              <w:t>8</w:t>
            </w:r>
          </w:p>
        </w:tc>
      </w:tr>
      <w:tr w:rsidR="00BA1E77" w:rsidRPr="00C62602" w14:paraId="504390B1" w14:textId="77777777" w:rsidTr="00C70998">
        <w:trPr>
          <w:trHeight w:val="258"/>
        </w:trPr>
        <w:tc>
          <w:tcPr>
            <w:cnfStyle w:val="001000000000" w:firstRow="0" w:lastRow="0" w:firstColumn="1" w:lastColumn="0" w:oddVBand="0" w:evenVBand="0" w:oddHBand="0" w:evenHBand="0" w:firstRowFirstColumn="0" w:firstRowLastColumn="0" w:lastRowFirstColumn="0" w:lastRowLastColumn="0"/>
            <w:tcW w:w="1129" w:type="dxa"/>
            <w:noWrap/>
            <w:vAlign w:val="center"/>
            <w:hideMark/>
          </w:tcPr>
          <w:p w14:paraId="59BF97C0" w14:textId="77777777" w:rsidR="00BA1E77" w:rsidRPr="00C62602" w:rsidRDefault="00BA1E77" w:rsidP="00C70998">
            <w:pPr>
              <w:pStyle w:val="JRCTabletext10pt"/>
              <w:rPr>
                <w:b w:val="0"/>
              </w:rPr>
            </w:pPr>
            <w:r w:rsidRPr="00C62602">
              <w:t>Tuzi</w:t>
            </w:r>
          </w:p>
        </w:tc>
        <w:tc>
          <w:tcPr>
            <w:tcW w:w="1928" w:type="dxa"/>
            <w:noWrap/>
            <w:vAlign w:val="center"/>
            <w:hideMark/>
          </w:tcPr>
          <w:p w14:paraId="262D82AF"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p>
        </w:tc>
        <w:tc>
          <w:tcPr>
            <w:tcW w:w="1928" w:type="dxa"/>
            <w:noWrap/>
            <w:vAlign w:val="center"/>
            <w:hideMark/>
          </w:tcPr>
          <w:p w14:paraId="3AFB3690"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p>
        </w:tc>
        <w:tc>
          <w:tcPr>
            <w:tcW w:w="1928" w:type="dxa"/>
            <w:noWrap/>
            <w:vAlign w:val="center"/>
            <w:hideMark/>
          </w:tcPr>
          <w:p w14:paraId="5268F4A0"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0</w:t>
            </w:r>
            <w:r>
              <w:t>.</w:t>
            </w:r>
            <w:r w:rsidRPr="00C62602">
              <w:t>02</w:t>
            </w:r>
          </w:p>
        </w:tc>
        <w:tc>
          <w:tcPr>
            <w:tcW w:w="1928" w:type="dxa"/>
            <w:noWrap/>
            <w:vAlign w:val="center"/>
            <w:hideMark/>
          </w:tcPr>
          <w:p w14:paraId="1F7D6E73"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p>
        </w:tc>
        <w:tc>
          <w:tcPr>
            <w:tcW w:w="828" w:type="dxa"/>
            <w:noWrap/>
            <w:vAlign w:val="center"/>
            <w:hideMark/>
          </w:tcPr>
          <w:p w14:paraId="2A0300D4"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0</w:t>
            </w:r>
            <w:r>
              <w:t>.</w:t>
            </w:r>
            <w:r w:rsidRPr="00C62602">
              <w:t>02</w:t>
            </w:r>
          </w:p>
        </w:tc>
      </w:tr>
      <w:tr w:rsidR="00BA1E77" w:rsidRPr="00C62602" w14:paraId="3FFBF3D6" w14:textId="77777777" w:rsidTr="00C70998">
        <w:trPr>
          <w:trHeight w:val="258"/>
        </w:trPr>
        <w:tc>
          <w:tcPr>
            <w:cnfStyle w:val="001000000000" w:firstRow="0" w:lastRow="0" w:firstColumn="1" w:lastColumn="0" w:oddVBand="0" w:evenVBand="0" w:oddHBand="0" w:evenHBand="0" w:firstRowFirstColumn="0" w:firstRowLastColumn="0" w:lastRowFirstColumn="0" w:lastRowLastColumn="0"/>
            <w:tcW w:w="1129" w:type="dxa"/>
            <w:noWrap/>
            <w:vAlign w:val="center"/>
            <w:hideMark/>
          </w:tcPr>
          <w:p w14:paraId="4B12C1AC" w14:textId="77777777" w:rsidR="00BA1E77" w:rsidRPr="00C62602" w:rsidRDefault="00BA1E77" w:rsidP="00C70998">
            <w:pPr>
              <w:pStyle w:val="JRCTabletext10pt"/>
              <w:rPr>
                <w:b w:val="0"/>
              </w:rPr>
            </w:pPr>
            <w:r w:rsidRPr="00C62602">
              <w:t>Total</w:t>
            </w:r>
          </w:p>
        </w:tc>
        <w:tc>
          <w:tcPr>
            <w:tcW w:w="1928" w:type="dxa"/>
            <w:noWrap/>
            <w:vAlign w:val="center"/>
            <w:hideMark/>
          </w:tcPr>
          <w:p w14:paraId="299CC87D"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2</w:t>
            </w:r>
            <w:r>
              <w:t>.10</w:t>
            </w:r>
          </w:p>
        </w:tc>
        <w:tc>
          <w:tcPr>
            <w:tcW w:w="1928" w:type="dxa"/>
            <w:noWrap/>
            <w:vAlign w:val="center"/>
            <w:hideMark/>
          </w:tcPr>
          <w:p w14:paraId="7EC4378D"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0</w:t>
            </w:r>
            <w:r>
              <w:t>.</w:t>
            </w:r>
            <w:r w:rsidRPr="00C62602">
              <w:t>2</w:t>
            </w:r>
            <w:r>
              <w:t>4</w:t>
            </w:r>
          </w:p>
        </w:tc>
        <w:tc>
          <w:tcPr>
            <w:tcW w:w="1928" w:type="dxa"/>
            <w:noWrap/>
            <w:vAlign w:val="center"/>
            <w:hideMark/>
          </w:tcPr>
          <w:p w14:paraId="48941BC0"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0</w:t>
            </w:r>
            <w:r>
              <w:t>.</w:t>
            </w:r>
            <w:r w:rsidRPr="00C62602">
              <w:t>23</w:t>
            </w:r>
          </w:p>
        </w:tc>
        <w:tc>
          <w:tcPr>
            <w:tcW w:w="1928" w:type="dxa"/>
            <w:noWrap/>
            <w:vAlign w:val="center"/>
            <w:hideMark/>
          </w:tcPr>
          <w:p w14:paraId="74F97495"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0</w:t>
            </w:r>
            <w:r>
              <w:t>.</w:t>
            </w:r>
            <w:r w:rsidRPr="00C62602">
              <w:t>32</w:t>
            </w:r>
          </w:p>
        </w:tc>
        <w:tc>
          <w:tcPr>
            <w:tcW w:w="828" w:type="dxa"/>
            <w:noWrap/>
            <w:vAlign w:val="center"/>
            <w:hideMark/>
          </w:tcPr>
          <w:p w14:paraId="20FA5E2F"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2</w:t>
            </w:r>
            <w:r>
              <w:t>.</w:t>
            </w:r>
            <w:r w:rsidRPr="00C62602">
              <w:t>89</w:t>
            </w:r>
          </w:p>
        </w:tc>
      </w:tr>
    </w:tbl>
    <w:p w14:paraId="3FC62C83" w14:textId="77777777" w:rsidR="00BA1E77" w:rsidRPr="001274FD" w:rsidRDefault="00BA1E77" w:rsidP="00BA1E77">
      <w:pPr>
        <w:pStyle w:val="JRCTablesource"/>
      </w:pPr>
      <w:r w:rsidRPr="001274FD">
        <w:rPr>
          <w:b/>
          <w:bCs/>
        </w:rPr>
        <w:t>Source:</w:t>
      </w:r>
      <w:r w:rsidRPr="001274FD">
        <w:t xml:space="preserve"> Ministry of Education, Science and Innovation</w:t>
      </w:r>
    </w:p>
    <w:p w14:paraId="30A67A47" w14:textId="77777777" w:rsidR="00BA1E77" w:rsidRPr="00DB00D1" w:rsidRDefault="00BA1E77" w:rsidP="00BA1E77">
      <w:pPr>
        <w:pStyle w:val="JRCLevel-3title"/>
      </w:pPr>
      <w:bookmarkStart w:id="99" w:name="_Toc221016438"/>
      <w:r w:rsidRPr="00DB00D1">
        <w:t>Innovation Grants financed by Innovation Fund of Montenegro</w:t>
      </w:r>
      <w:bookmarkEnd w:id="99"/>
    </w:p>
    <w:p w14:paraId="7DADC3B7" w14:textId="77777777" w:rsidR="00BA1E77" w:rsidRPr="00C23F86" w:rsidRDefault="00BA1E77" w:rsidP="00BA1E77">
      <w:pPr>
        <w:pStyle w:val="JRCText"/>
      </w:pPr>
      <w:r w:rsidRPr="00C23F86">
        <w:t xml:space="preserve">The total amount available for innovation grants in the period 2022-2024 is ca </w:t>
      </w:r>
      <w:r>
        <w:rPr>
          <w:color w:val="000000"/>
        </w:rPr>
        <w:t xml:space="preserve">EUR </w:t>
      </w:r>
      <w:r w:rsidRPr="00C23F86">
        <w:t>5.9 million (90% allocated to business entities)</w:t>
      </w:r>
      <w:r w:rsidRPr="00134038">
        <w:rPr>
          <w:rStyle w:val="FootnoteReference"/>
        </w:rPr>
        <w:footnoteReference w:id="7"/>
      </w:r>
      <w:r w:rsidRPr="00C23F86">
        <w:t xml:space="preserve">. The three programme lines most financed are </w:t>
      </w:r>
      <w:r>
        <w:t>‘</w:t>
      </w:r>
      <w:r w:rsidRPr="00C23F86">
        <w:t>Collaborative grants</w:t>
      </w:r>
      <w:r>
        <w:t>’</w:t>
      </w:r>
      <w:r w:rsidRPr="00C23F86">
        <w:t xml:space="preserve"> (ca </w:t>
      </w:r>
      <w:r>
        <w:rPr>
          <w:color w:val="000000"/>
        </w:rPr>
        <w:t xml:space="preserve">EUR </w:t>
      </w:r>
      <w:r w:rsidRPr="00C23F86">
        <w:t xml:space="preserve">1.7 million), </w:t>
      </w:r>
      <w:r>
        <w:t>‘</w:t>
      </w:r>
      <w:r w:rsidRPr="00C23F86">
        <w:t>Programme for encouraging innovations in the function of energy efficiency in industry</w:t>
      </w:r>
      <w:r>
        <w:t>’</w:t>
      </w:r>
      <w:r w:rsidRPr="00C23F86">
        <w:t xml:space="preserve"> (ca </w:t>
      </w:r>
      <w:r>
        <w:rPr>
          <w:color w:val="000000"/>
        </w:rPr>
        <w:t xml:space="preserve">EUR </w:t>
      </w:r>
      <w:r w:rsidRPr="00C23F86">
        <w:t xml:space="preserve">1.6 million) and </w:t>
      </w:r>
      <w:r>
        <w:t>‘</w:t>
      </w:r>
      <w:r w:rsidRPr="00C23F86">
        <w:t>Programme for strengthening the innovation of newly established or existing micro, small and medium-sized enterprises</w:t>
      </w:r>
      <w:r>
        <w:t>’</w:t>
      </w:r>
      <w:r w:rsidRPr="00C23F86">
        <w:t xml:space="preserve"> (ca </w:t>
      </w:r>
      <w:r>
        <w:rPr>
          <w:color w:val="000000"/>
        </w:rPr>
        <w:t xml:space="preserve">EUR </w:t>
      </w:r>
      <w:r w:rsidRPr="00C23F86">
        <w:t>1.2 million), representing the 78 of the total available</w:t>
      </w:r>
      <w:r>
        <w:rPr>
          <w:rFonts w:ascii="Calibri" w:hAnsi="Calibri" w:cs="Calibri"/>
        </w:rPr>
        <w:t> </w:t>
      </w:r>
      <w:r w:rsidRPr="00C23F86">
        <w:t>budgets.</w:t>
      </w:r>
    </w:p>
    <w:p w14:paraId="0E3A4017" w14:textId="77777777" w:rsidR="00BA1E77" w:rsidRPr="00C23F86" w:rsidRDefault="00BA1E77" w:rsidP="00BA1E77">
      <w:pPr>
        <w:pStyle w:val="JRCText"/>
      </w:pPr>
      <w:r w:rsidRPr="00C23F86">
        <w:lastRenderedPageBreak/>
        <w:t xml:space="preserve">Considering S3 priorities, the two most financed are </w:t>
      </w:r>
      <w:r>
        <w:t>‘</w:t>
      </w:r>
      <w:r w:rsidRPr="00C23F86">
        <w:t>ICT</w:t>
      </w:r>
      <w:r>
        <w:t>’</w:t>
      </w:r>
      <w:r w:rsidRPr="00C23F86">
        <w:t xml:space="preserve"> and </w:t>
      </w:r>
      <w:r>
        <w:t>‘</w:t>
      </w:r>
      <w:r w:rsidRPr="00C23F86">
        <w:t>Energy and Sustainable Environment</w:t>
      </w:r>
      <w:r>
        <w:t>’</w:t>
      </w:r>
      <w:r w:rsidRPr="00C23F86">
        <w:t xml:space="preserve">, respectively, with </w:t>
      </w:r>
      <w:r>
        <w:rPr>
          <w:color w:val="000000"/>
        </w:rPr>
        <w:t xml:space="preserve">EUR </w:t>
      </w:r>
      <w:r w:rsidRPr="00C23F86">
        <w:t xml:space="preserve">2.5 and </w:t>
      </w:r>
      <w:r>
        <w:rPr>
          <w:color w:val="000000"/>
        </w:rPr>
        <w:t xml:space="preserve">EUR </w:t>
      </w:r>
      <w:r w:rsidRPr="00C23F86">
        <w:t xml:space="preserve">1.7 million, respectively, accounting for 70% of the available budget (see Table 16). </w:t>
      </w:r>
    </w:p>
    <w:p w14:paraId="6BB96887" w14:textId="77777777" w:rsidR="00BA1E77" w:rsidRPr="00EA14E8" w:rsidRDefault="00BA1E77" w:rsidP="00BA1E77">
      <w:pPr>
        <w:pStyle w:val="JRCText"/>
        <w:rPr>
          <w:rFonts w:cs="Times New Roman (Body CS)"/>
        </w:rPr>
      </w:pPr>
      <w:r w:rsidRPr="00C23F86">
        <w:t xml:space="preserve">Analysing the distribution of Innovation grants in relation to S3 priorities, Podgorica ranks first with </w:t>
      </w:r>
      <w:r>
        <w:rPr>
          <w:color w:val="000000"/>
        </w:rPr>
        <w:t xml:space="preserve">EUR </w:t>
      </w:r>
      <w:r w:rsidRPr="00C23F86">
        <w:t xml:space="preserve">2.78 </w:t>
      </w:r>
      <w:r w:rsidRPr="009A2949">
        <w:rPr>
          <w:rFonts w:cs="Times New Roman (Body CS)"/>
          <w:spacing w:val="-2"/>
        </w:rPr>
        <w:t xml:space="preserve">million, followed by Nikšić with </w:t>
      </w:r>
      <w:r>
        <w:rPr>
          <w:color w:val="000000"/>
        </w:rPr>
        <w:t xml:space="preserve">EUR </w:t>
      </w:r>
      <w:r w:rsidRPr="009A2949">
        <w:rPr>
          <w:rFonts w:cs="Times New Roman (Body CS)"/>
          <w:spacing w:val="-2"/>
        </w:rPr>
        <w:t>1.37 million. However, a closer examination of the specialisations in these municipalities reveals Podgorica</w:t>
      </w:r>
      <w:r>
        <w:rPr>
          <w:rFonts w:cs="Times New Roman (Body CS)"/>
          <w:spacing w:val="-2"/>
        </w:rPr>
        <w:t>’</w:t>
      </w:r>
      <w:r w:rsidRPr="009A2949">
        <w:rPr>
          <w:rFonts w:cs="Times New Roman (Body CS)"/>
          <w:spacing w:val="-2"/>
        </w:rPr>
        <w:t xml:space="preserve">s strong focus on ICT, while Nikšić leads in two critical S3 priorities: </w:t>
      </w:r>
      <w:r w:rsidRPr="00EA14E8">
        <w:rPr>
          <w:rFonts w:cs="Times New Roman (Body CS)"/>
        </w:rPr>
        <w:t>Energy and Sustainable Environment, as well as Sustainable Agriculture and Food Value Chain (see Table</w:t>
      </w:r>
      <w:r>
        <w:rPr>
          <w:rFonts w:ascii="Calibri" w:hAnsi="Calibri" w:cs="Calibri"/>
        </w:rPr>
        <w:t> </w:t>
      </w:r>
      <w:r w:rsidRPr="00EA14E8">
        <w:rPr>
          <w:rFonts w:cs="Times New Roman (Body CS)"/>
        </w:rPr>
        <w:t>17).</w:t>
      </w:r>
    </w:p>
    <w:p w14:paraId="42EBE965" w14:textId="77777777" w:rsidR="00BA1E77" w:rsidRDefault="00BA1E77" w:rsidP="00BA1E77">
      <w:pPr>
        <w:pStyle w:val="JRCText"/>
        <w:spacing w:line="276" w:lineRule="auto"/>
        <w:sectPr w:rsidR="00BA1E77" w:rsidSect="00BA1E77">
          <w:pgSz w:w="11906" w:h="16838"/>
          <w:pgMar w:top="1417" w:right="1134" w:bottom="1134" w:left="1134" w:header="708" w:footer="708" w:gutter="0"/>
          <w:cols w:space="708"/>
          <w:docGrid w:linePitch="360"/>
        </w:sectPr>
      </w:pPr>
    </w:p>
    <w:p w14:paraId="6F65A653" w14:textId="77777777" w:rsidR="00BA1E77" w:rsidRPr="00DB00D1" w:rsidRDefault="00BA1E77" w:rsidP="00BA1E77">
      <w:pPr>
        <w:pStyle w:val="JRCTabletitle"/>
      </w:pPr>
      <w:bookmarkStart w:id="100" w:name="_Toc220938967"/>
      <w:bookmarkStart w:id="101" w:name="_Toc221271677"/>
      <w:r w:rsidRPr="00C62602">
        <w:rPr>
          <w:b/>
          <w:bCs/>
        </w:rPr>
        <w:lastRenderedPageBreak/>
        <w:t xml:space="preserve">Table </w:t>
      </w:r>
      <w:r w:rsidRPr="00C62602">
        <w:rPr>
          <w:b/>
          <w:bCs/>
        </w:rPr>
        <w:fldChar w:fldCharType="begin"/>
      </w:r>
      <w:r w:rsidRPr="00C62602">
        <w:rPr>
          <w:b/>
          <w:bCs/>
        </w:rPr>
        <w:instrText xml:space="preserve"> SEQ Table \* ARABIC </w:instrText>
      </w:r>
      <w:r w:rsidRPr="00C62602">
        <w:rPr>
          <w:b/>
          <w:bCs/>
        </w:rPr>
        <w:fldChar w:fldCharType="separate"/>
      </w:r>
      <w:r>
        <w:rPr>
          <w:b/>
          <w:bCs/>
          <w:noProof/>
        </w:rPr>
        <w:t>15</w:t>
      </w:r>
      <w:r w:rsidRPr="00C62602">
        <w:rPr>
          <w:b/>
          <w:bCs/>
        </w:rPr>
        <w:fldChar w:fldCharType="end"/>
      </w:r>
      <w:r>
        <w:rPr>
          <w:b/>
          <w:bCs/>
        </w:rPr>
        <w:t>.</w:t>
      </w:r>
      <w:r w:rsidRPr="00DB00D1">
        <w:t xml:space="preserve"> Total amount of the approved projects for each program</w:t>
      </w:r>
      <w:r>
        <w:t>me</w:t>
      </w:r>
      <w:r w:rsidRPr="00DB00D1">
        <w:t xml:space="preserve"> line (</w:t>
      </w:r>
      <w:r>
        <w:rPr>
          <w:color w:val="000000"/>
        </w:rPr>
        <w:t>EUR</w:t>
      </w:r>
      <w:r w:rsidRPr="00DB00D1">
        <w:rPr>
          <w:sz w:val="18"/>
        </w:rPr>
        <w:t xml:space="preserve"> </w:t>
      </w:r>
      <w:r w:rsidRPr="00DB00D1">
        <w:t>million)</w:t>
      </w:r>
      <w:bookmarkEnd w:id="100"/>
      <w:bookmarkEnd w:id="101"/>
    </w:p>
    <w:tbl>
      <w:tblPr>
        <w:tblStyle w:val="JRCTableBasic"/>
        <w:tblW w:w="4995" w:type="pct"/>
        <w:tblLayout w:type="fixed"/>
        <w:tblLook w:val="04A0" w:firstRow="1" w:lastRow="0" w:firstColumn="1" w:lastColumn="0" w:noHBand="0" w:noVBand="1"/>
      </w:tblPr>
      <w:tblGrid>
        <w:gridCol w:w="4898"/>
        <w:gridCol w:w="1025"/>
        <w:gridCol w:w="1025"/>
        <w:gridCol w:w="1025"/>
        <w:gridCol w:w="1025"/>
        <w:gridCol w:w="9"/>
      </w:tblGrid>
      <w:tr w:rsidR="00BA1E77" w:rsidRPr="00C62602" w14:paraId="3F8D6FFA" w14:textId="77777777" w:rsidTr="00C70998">
        <w:trPr>
          <w:cnfStyle w:val="100000000000" w:firstRow="1" w:lastRow="0" w:firstColumn="0" w:lastColumn="0" w:oddVBand="0" w:evenVBand="0" w:oddHBand="0" w:evenHBand="0" w:firstRowFirstColumn="0" w:firstRowLastColumn="0" w:lastRowFirstColumn="0" w:lastRowLastColumn="0"/>
          <w:trHeight w:val="295"/>
        </w:trPr>
        <w:tc>
          <w:tcPr>
            <w:cnfStyle w:val="001000000000" w:firstRow="0" w:lastRow="0" w:firstColumn="1" w:lastColumn="0" w:oddVBand="0" w:evenVBand="0" w:oddHBand="0" w:evenHBand="0" w:firstRowFirstColumn="0" w:firstRowLastColumn="0" w:lastRowFirstColumn="0" w:lastRowLastColumn="0"/>
            <w:tcW w:w="2719" w:type="pct"/>
            <w:noWrap/>
            <w:vAlign w:val="center"/>
            <w:hideMark/>
          </w:tcPr>
          <w:p w14:paraId="29AAA7CE" w14:textId="77777777" w:rsidR="00BA1E77" w:rsidRPr="00C62602" w:rsidRDefault="00BA1E77" w:rsidP="00C70998">
            <w:pPr>
              <w:pStyle w:val="JRCTabletext10pt"/>
            </w:pPr>
          </w:p>
        </w:tc>
        <w:tc>
          <w:tcPr>
            <w:tcW w:w="2281" w:type="pct"/>
            <w:gridSpan w:val="5"/>
            <w:noWrap/>
            <w:vAlign w:val="center"/>
            <w:hideMark/>
          </w:tcPr>
          <w:p w14:paraId="12F441CF" w14:textId="77777777" w:rsidR="00BA1E77" w:rsidRPr="00E91320" w:rsidRDefault="00BA1E77" w:rsidP="00C70998">
            <w:pPr>
              <w:pStyle w:val="JRCTableBoxtitle"/>
              <w:jc w:val="left"/>
              <w:cnfStyle w:val="100000000000" w:firstRow="1" w:lastRow="0" w:firstColumn="0" w:lastColumn="0" w:oddVBand="0" w:evenVBand="0" w:oddHBand="0" w:evenHBand="0" w:firstRowFirstColumn="0" w:firstRowLastColumn="0" w:lastRowFirstColumn="0" w:lastRowLastColumn="0"/>
              <w:rPr>
                <w:b/>
                <w:bCs/>
              </w:rPr>
            </w:pPr>
            <w:r w:rsidRPr="00E91320">
              <w:rPr>
                <w:b/>
                <w:bCs/>
              </w:rPr>
              <w:t>Year</w:t>
            </w:r>
          </w:p>
        </w:tc>
      </w:tr>
      <w:tr w:rsidR="00BA1E77" w:rsidRPr="00C62602" w14:paraId="56916C5A" w14:textId="77777777" w:rsidTr="00C70998">
        <w:trPr>
          <w:gridAfter w:val="1"/>
          <w:wAfter w:w="6" w:type="pct"/>
          <w:trHeight w:val="295"/>
        </w:trPr>
        <w:tc>
          <w:tcPr>
            <w:cnfStyle w:val="001000000000" w:firstRow="0" w:lastRow="0" w:firstColumn="1" w:lastColumn="0" w:oddVBand="0" w:evenVBand="0" w:oddHBand="0" w:evenHBand="0" w:firstRowFirstColumn="0" w:firstRowLastColumn="0" w:lastRowFirstColumn="0" w:lastRowLastColumn="0"/>
            <w:tcW w:w="2719" w:type="pct"/>
            <w:noWrap/>
            <w:vAlign w:val="center"/>
            <w:hideMark/>
          </w:tcPr>
          <w:p w14:paraId="300D9221" w14:textId="77777777" w:rsidR="00BA1E77" w:rsidRPr="00E91320" w:rsidRDefault="00BA1E77" w:rsidP="00C70998">
            <w:pPr>
              <w:pStyle w:val="JRCTableBoxtitle"/>
              <w:jc w:val="left"/>
              <w:rPr>
                <w:b/>
                <w:bCs/>
              </w:rPr>
            </w:pPr>
            <w:r w:rsidRPr="00E91320">
              <w:rPr>
                <w:b/>
                <w:bCs/>
              </w:rPr>
              <w:t>Program</w:t>
            </w:r>
            <w:r>
              <w:rPr>
                <w:b/>
                <w:bCs/>
              </w:rPr>
              <w:t>ME</w:t>
            </w:r>
            <w:r w:rsidRPr="00E91320">
              <w:rPr>
                <w:b/>
                <w:bCs/>
              </w:rPr>
              <w:t xml:space="preserve"> Line</w:t>
            </w:r>
          </w:p>
        </w:tc>
        <w:tc>
          <w:tcPr>
            <w:tcW w:w="569" w:type="pct"/>
            <w:noWrap/>
            <w:vAlign w:val="center"/>
            <w:hideMark/>
          </w:tcPr>
          <w:p w14:paraId="13ABBA55" w14:textId="77777777" w:rsidR="00BA1E77" w:rsidRPr="00913B46" w:rsidRDefault="00BA1E77" w:rsidP="00C70998">
            <w:pPr>
              <w:pStyle w:val="JRCTabletext10pt"/>
              <w:cnfStyle w:val="000000000000" w:firstRow="0" w:lastRow="0" w:firstColumn="0" w:lastColumn="0" w:oddVBand="0" w:evenVBand="0" w:oddHBand="0" w:evenHBand="0" w:firstRowFirstColumn="0" w:firstRowLastColumn="0" w:lastRowFirstColumn="0" w:lastRowLastColumn="0"/>
              <w:rPr>
                <w:b/>
              </w:rPr>
            </w:pPr>
            <w:r w:rsidRPr="00913B46">
              <w:rPr>
                <w:b/>
              </w:rPr>
              <w:t>2022</w:t>
            </w:r>
          </w:p>
        </w:tc>
        <w:tc>
          <w:tcPr>
            <w:tcW w:w="569" w:type="pct"/>
            <w:noWrap/>
            <w:vAlign w:val="center"/>
            <w:hideMark/>
          </w:tcPr>
          <w:p w14:paraId="3E180727" w14:textId="77777777" w:rsidR="00BA1E77" w:rsidRPr="00913B46" w:rsidRDefault="00BA1E77" w:rsidP="00C70998">
            <w:pPr>
              <w:pStyle w:val="JRCTabletext10pt"/>
              <w:cnfStyle w:val="000000000000" w:firstRow="0" w:lastRow="0" w:firstColumn="0" w:lastColumn="0" w:oddVBand="0" w:evenVBand="0" w:oddHBand="0" w:evenHBand="0" w:firstRowFirstColumn="0" w:firstRowLastColumn="0" w:lastRowFirstColumn="0" w:lastRowLastColumn="0"/>
              <w:rPr>
                <w:b/>
              </w:rPr>
            </w:pPr>
            <w:r w:rsidRPr="00913B46">
              <w:rPr>
                <w:b/>
              </w:rPr>
              <w:t>2023</w:t>
            </w:r>
          </w:p>
        </w:tc>
        <w:tc>
          <w:tcPr>
            <w:tcW w:w="569" w:type="pct"/>
            <w:noWrap/>
            <w:vAlign w:val="center"/>
            <w:hideMark/>
          </w:tcPr>
          <w:p w14:paraId="3AD72674" w14:textId="77777777" w:rsidR="00BA1E77" w:rsidRPr="00913B46" w:rsidRDefault="00BA1E77" w:rsidP="00C70998">
            <w:pPr>
              <w:pStyle w:val="JRCTabletext10pt"/>
              <w:cnfStyle w:val="000000000000" w:firstRow="0" w:lastRow="0" w:firstColumn="0" w:lastColumn="0" w:oddVBand="0" w:evenVBand="0" w:oddHBand="0" w:evenHBand="0" w:firstRowFirstColumn="0" w:firstRowLastColumn="0" w:lastRowFirstColumn="0" w:lastRowLastColumn="0"/>
              <w:rPr>
                <w:b/>
              </w:rPr>
            </w:pPr>
            <w:r w:rsidRPr="00913B46">
              <w:rPr>
                <w:b/>
              </w:rPr>
              <w:t>2024</w:t>
            </w:r>
          </w:p>
        </w:tc>
        <w:tc>
          <w:tcPr>
            <w:tcW w:w="569" w:type="pct"/>
            <w:noWrap/>
            <w:vAlign w:val="center"/>
            <w:hideMark/>
          </w:tcPr>
          <w:p w14:paraId="6AEB0E53" w14:textId="77777777" w:rsidR="00BA1E77" w:rsidRPr="00913B46" w:rsidRDefault="00BA1E77" w:rsidP="00C70998">
            <w:pPr>
              <w:pStyle w:val="JRCTabletext10pt"/>
              <w:cnfStyle w:val="000000000000" w:firstRow="0" w:lastRow="0" w:firstColumn="0" w:lastColumn="0" w:oddVBand="0" w:evenVBand="0" w:oddHBand="0" w:evenHBand="0" w:firstRowFirstColumn="0" w:firstRowLastColumn="0" w:lastRowFirstColumn="0" w:lastRowLastColumn="0"/>
              <w:rPr>
                <w:b/>
              </w:rPr>
            </w:pPr>
            <w:r w:rsidRPr="00913B46">
              <w:rPr>
                <w:b/>
              </w:rPr>
              <w:t>Total</w:t>
            </w:r>
          </w:p>
        </w:tc>
      </w:tr>
      <w:tr w:rsidR="00BA1E77" w:rsidRPr="00C62602" w14:paraId="5959A189" w14:textId="77777777" w:rsidTr="00C70998">
        <w:trPr>
          <w:gridAfter w:val="1"/>
          <w:wAfter w:w="6" w:type="pct"/>
          <w:trHeight w:val="295"/>
        </w:trPr>
        <w:tc>
          <w:tcPr>
            <w:cnfStyle w:val="001000000000" w:firstRow="0" w:lastRow="0" w:firstColumn="1" w:lastColumn="0" w:oddVBand="0" w:evenVBand="0" w:oddHBand="0" w:evenHBand="0" w:firstRowFirstColumn="0" w:firstRowLastColumn="0" w:lastRowFirstColumn="0" w:lastRowLastColumn="0"/>
            <w:tcW w:w="2719" w:type="pct"/>
            <w:noWrap/>
            <w:vAlign w:val="center"/>
            <w:hideMark/>
          </w:tcPr>
          <w:p w14:paraId="23F6AF9C" w14:textId="77777777" w:rsidR="00BA1E77" w:rsidRPr="00C62602" w:rsidRDefault="00BA1E77" w:rsidP="00C70998">
            <w:pPr>
              <w:pStyle w:val="JRCTabletext10pt"/>
            </w:pPr>
            <w:r w:rsidRPr="00C62602">
              <w:t>Encouraging innovation culture</w:t>
            </w:r>
          </w:p>
        </w:tc>
        <w:tc>
          <w:tcPr>
            <w:tcW w:w="569" w:type="pct"/>
            <w:noWrap/>
            <w:vAlign w:val="center"/>
            <w:hideMark/>
          </w:tcPr>
          <w:p w14:paraId="49BBB143"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p>
        </w:tc>
        <w:tc>
          <w:tcPr>
            <w:tcW w:w="569" w:type="pct"/>
            <w:noWrap/>
            <w:vAlign w:val="center"/>
            <w:hideMark/>
          </w:tcPr>
          <w:p w14:paraId="408C3D05"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0</w:t>
            </w:r>
            <w:r>
              <w:t>.</w:t>
            </w:r>
            <w:r w:rsidRPr="00C62602">
              <w:t>08</w:t>
            </w:r>
          </w:p>
        </w:tc>
        <w:tc>
          <w:tcPr>
            <w:tcW w:w="569" w:type="pct"/>
            <w:noWrap/>
            <w:vAlign w:val="center"/>
            <w:hideMark/>
          </w:tcPr>
          <w:p w14:paraId="5F0DAEF3"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p>
        </w:tc>
        <w:tc>
          <w:tcPr>
            <w:tcW w:w="569" w:type="pct"/>
            <w:noWrap/>
            <w:vAlign w:val="center"/>
            <w:hideMark/>
          </w:tcPr>
          <w:p w14:paraId="2AFD7AB8"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0</w:t>
            </w:r>
            <w:r>
              <w:t>.</w:t>
            </w:r>
            <w:r w:rsidRPr="00C62602">
              <w:t>08</w:t>
            </w:r>
          </w:p>
        </w:tc>
      </w:tr>
      <w:tr w:rsidR="00BA1E77" w:rsidRPr="00C62602" w14:paraId="4EE7DB40" w14:textId="77777777" w:rsidTr="00C70998">
        <w:trPr>
          <w:gridAfter w:val="1"/>
          <w:wAfter w:w="6" w:type="pct"/>
          <w:trHeight w:val="295"/>
        </w:trPr>
        <w:tc>
          <w:tcPr>
            <w:cnfStyle w:val="001000000000" w:firstRow="0" w:lastRow="0" w:firstColumn="1" w:lastColumn="0" w:oddVBand="0" w:evenVBand="0" w:oddHBand="0" w:evenHBand="0" w:firstRowFirstColumn="0" w:firstRowLastColumn="0" w:lastRowFirstColumn="0" w:lastRowLastColumn="0"/>
            <w:tcW w:w="2719" w:type="pct"/>
            <w:noWrap/>
            <w:vAlign w:val="center"/>
            <w:hideMark/>
          </w:tcPr>
          <w:p w14:paraId="5E96E38D" w14:textId="77777777" w:rsidR="00BA1E77" w:rsidRPr="00C62602" w:rsidRDefault="00BA1E77" w:rsidP="00C70998">
            <w:pPr>
              <w:pStyle w:val="JRCTabletext10pt"/>
            </w:pPr>
            <w:r w:rsidRPr="00C62602">
              <w:t>Implementation of educational program</w:t>
            </w:r>
            <w:r>
              <w:t>me</w:t>
            </w:r>
            <w:r w:rsidRPr="00C62602">
              <w:t>s in the areas of smart specialisation</w:t>
            </w:r>
          </w:p>
        </w:tc>
        <w:tc>
          <w:tcPr>
            <w:tcW w:w="569" w:type="pct"/>
            <w:noWrap/>
            <w:vAlign w:val="center"/>
            <w:hideMark/>
          </w:tcPr>
          <w:p w14:paraId="5DA48FCF"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p>
        </w:tc>
        <w:tc>
          <w:tcPr>
            <w:tcW w:w="569" w:type="pct"/>
            <w:noWrap/>
            <w:vAlign w:val="center"/>
            <w:hideMark/>
          </w:tcPr>
          <w:p w14:paraId="0D2DCE25"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0</w:t>
            </w:r>
            <w:r>
              <w:t>.</w:t>
            </w:r>
            <w:r w:rsidRPr="00C62602">
              <w:t>09</w:t>
            </w:r>
          </w:p>
        </w:tc>
        <w:tc>
          <w:tcPr>
            <w:tcW w:w="569" w:type="pct"/>
            <w:noWrap/>
            <w:vAlign w:val="center"/>
            <w:hideMark/>
          </w:tcPr>
          <w:p w14:paraId="314A2208"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p>
        </w:tc>
        <w:tc>
          <w:tcPr>
            <w:tcW w:w="569" w:type="pct"/>
            <w:noWrap/>
            <w:vAlign w:val="center"/>
            <w:hideMark/>
          </w:tcPr>
          <w:p w14:paraId="0408566A"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0</w:t>
            </w:r>
            <w:r>
              <w:t>.</w:t>
            </w:r>
            <w:r w:rsidRPr="00C62602">
              <w:t>09</w:t>
            </w:r>
          </w:p>
        </w:tc>
      </w:tr>
      <w:tr w:rsidR="00BA1E77" w:rsidRPr="00C62602" w14:paraId="517C4AE9" w14:textId="77777777" w:rsidTr="00C70998">
        <w:trPr>
          <w:gridAfter w:val="1"/>
          <w:wAfter w:w="6" w:type="pct"/>
          <w:trHeight w:val="295"/>
        </w:trPr>
        <w:tc>
          <w:tcPr>
            <w:cnfStyle w:val="001000000000" w:firstRow="0" w:lastRow="0" w:firstColumn="1" w:lastColumn="0" w:oddVBand="0" w:evenVBand="0" w:oddHBand="0" w:evenHBand="0" w:firstRowFirstColumn="0" w:firstRowLastColumn="0" w:lastRowFirstColumn="0" w:lastRowLastColumn="0"/>
            <w:tcW w:w="2719" w:type="pct"/>
            <w:noWrap/>
            <w:vAlign w:val="center"/>
            <w:hideMark/>
          </w:tcPr>
          <w:p w14:paraId="2FD30FAD" w14:textId="77777777" w:rsidR="00BA1E77" w:rsidRPr="00C62602" w:rsidRDefault="00BA1E77" w:rsidP="00C70998">
            <w:pPr>
              <w:pStyle w:val="JRCTabletext10pt"/>
            </w:pPr>
            <w:r w:rsidRPr="00C62602">
              <w:t>Collaborative grants</w:t>
            </w:r>
          </w:p>
        </w:tc>
        <w:tc>
          <w:tcPr>
            <w:tcW w:w="569" w:type="pct"/>
            <w:noWrap/>
            <w:vAlign w:val="center"/>
            <w:hideMark/>
          </w:tcPr>
          <w:p w14:paraId="4F0D2920"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1</w:t>
            </w:r>
            <w:r>
              <w:t>.</w:t>
            </w:r>
            <w:r w:rsidRPr="00C62602">
              <w:t>7</w:t>
            </w:r>
            <w:r>
              <w:t>4</w:t>
            </w:r>
          </w:p>
        </w:tc>
        <w:tc>
          <w:tcPr>
            <w:tcW w:w="569" w:type="pct"/>
            <w:noWrap/>
            <w:vAlign w:val="center"/>
            <w:hideMark/>
          </w:tcPr>
          <w:p w14:paraId="46EFA331"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p>
        </w:tc>
        <w:tc>
          <w:tcPr>
            <w:tcW w:w="569" w:type="pct"/>
            <w:noWrap/>
            <w:vAlign w:val="center"/>
            <w:hideMark/>
          </w:tcPr>
          <w:p w14:paraId="72545E39"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p>
        </w:tc>
        <w:tc>
          <w:tcPr>
            <w:tcW w:w="569" w:type="pct"/>
            <w:noWrap/>
            <w:vAlign w:val="center"/>
            <w:hideMark/>
          </w:tcPr>
          <w:p w14:paraId="29AF9F3A"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1</w:t>
            </w:r>
            <w:r>
              <w:t>.</w:t>
            </w:r>
            <w:r w:rsidRPr="00C62602">
              <w:t>7</w:t>
            </w:r>
            <w:r>
              <w:t>4</w:t>
            </w:r>
          </w:p>
        </w:tc>
      </w:tr>
      <w:tr w:rsidR="00BA1E77" w:rsidRPr="00C62602" w14:paraId="0B12EDD3" w14:textId="77777777" w:rsidTr="00C70998">
        <w:trPr>
          <w:gridAfter w:val="1"/>
          <w:wAfter w:w="6" w:type="pct"/>
          <w:trHeight w:val="295"/>
        </w:trPr>
        <w:tc>
          <w:tcPr>
            <w:cnfStyle w:val="001000000000" w:firstRow="0" w:lastRow="0" w:firstColumn="1" w:lastColumn="0" w:oddVBand="0" w:evenVBand="0" w:oddHBand="0" w:evenHBand="0" w:firstRowFirstColumn="0" w:firstRowLastColumn="0" w:lastRowFirstColumn="0" w:lastRowLastColumn="0"/>
            <w:tcW w:w="2719" w:type="pct"/>
            <w:noWrap/>
            <w:vAlign w:val="center"/>
            <w:hideMark/>
          </w:tcPr>
          <w:p w14:paraId="2852BA7E" w14:textId="77777777" w:rsidR="00BA1E77" w:rsidRPr="00C62602" w:rsidRDefault="00BA1E77" w:rsidP="00C70998">
            <w:pPr>
              <w:pStyle w:val="JRCTabletext10pt"/>
            </w:pPr>
            <w:r w:rsidRPr="00C62602">
              <w:t>Innovation voucher</w:t>
            </w:r>
          </w:p>
        </w:tc>
        <w:tc>
          <w:tcPr>
            <w:tcW w:w="569" w:type="pct"/>
            <w:noWrap/>
            <w:vAlign w:val="center"/>
            <w:hideMark/>
          </w:tcPr>
          <w:p w14:paraId="08C93231"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0</w:t>
            </w:r>
            <w:r>
              <w:t>.</w:t>
            </w:r>
            <w:r w:rsidRPr="00C62602">
              <w:t>09</w:t>
            </w:r>
          </w:p>
        </w:tc>
        <w:tc>
          <w:tcPr>
            <w:tcW w:w="569" w:type="pct"/>
            <w:noWrap/>
            <w:vAlign w:val="center"/>
            <w:hideMark/>
          </w:tcPr>
          <w:p w14:paraId="2997410B"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0</w:t>
            </w:r>
            <w:r>
              <w:t>.</w:t>
            </w:r>
            <w:r w:rsidRPr="00C62602">
              <w:t>04</w:t>
            </w:r>
          </w:p>
        </w:tc>
        <w:tc>
          <w:tcPr>
            <w:tcW w:w="569" w:type="pct"/>
            <w:noWrap/>
            <w:vAlign w:val="center"/>
            <w:hideMark/>
          </w:tcPr>
          <w:p w14:paraId="2AA7022A"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p>
        </w:tc>
        <w:tc>
          <w:tcPr>
            <w:tcW w:w="569" w:type="pct"/>
            <w:noWrap/>
            <w:vAlign w:val="center"/>
            <w:hideMark/>
          </w:tcPr>
          <w:p w14:paraId="640ABD74"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0</w:t>
            </w:r>
            <w:r>
              <w:t>.</w:t>
            </w:r>
            <w:r w:rsidRPr="00C62602">
              <w:t>1</w:t>
            </w:r>
            <w:r>
              <w:t>3</w:t>
            </w:r>
          </w:p>
        </w:tc>
      </w:tr>
      <w:tr w:rsidR="00BA1E77" w:rsidRPr="00C62602" w14:paraId="53FB3743" w14:textId="77777777" w:rsidTr="00C70998">
        <w:trPr>
          <w:gridAfter w:val="1"/>
          <w:wAfter w:w="6" w:type="pct"/>
          <w:trHeight w:val="295"/>
        </w:trPr>
        <w:tc>
          <w:tcPr>
            <w:cnfStyle w:val="001000000000" w:firstRow="0" w:lastRow="0" w:firstColumn="1" w:lastColumn="0" w:oddVBand="0" w:evenVBand="0" w:oddHBand="0" w:evenHBand="0" w:firstRowFirstColumn="0" w:firstRowLastColumn="0" w:lastRowFirstColumn="0" w:lastRowLastColumn="0"/>
            <w:tcW w:w="2719" w:type="pct"/>
            <w:noWrap/>
            <w:vAlign w:val="center"/>
            <w:hideMark/>
          </w:tcPr>
          <w:p w14:paraId="703A7398" w14:textId="77777777" w:rsidR="00BA1E77" w:rsidRPr="00C62602" w:rsidRDefault="00BA1E77" w:rsidP="00C70998">
            <w:pPr>
              <w:pStyle w:val="JRCTabletext10pt"/>
            </w:pPr>
            <w:r w:rsidRPr="00C62602">
              <w:t>Pre-acceleration of start-ups</w:t>
            </w:r>
          </w:p>
        </w:tc>
        <w:tc>
          <w:tcPr>
            <w:tcW w:w="569" w:type="pct"/>
            <w:noWrap/>
            <w:vAlign w:val="center"/>
            <w:hideMark/>
          </w:tcPr>
          <w:p w14:paraId="0D71740D"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p>
        </w:tc>
        <w:tc>
          <w:tcPr>
            <w:tcW w:w="569" w:type="pct"/>
            <w:noWrap/>
            <w:vAlign w:val="center"/>
            <w:hideMark/>
          </w:tcPr>
          <w:p w14:paraId="547DC481"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0</w:t>
            </w:r>
            <w:r>
              <w:t>.</w:t>
            </w:r>
            <w:r w:rsidRPr="00C62602">
              <w:t>13</w:t>
            </w:r>
          </w:p>
        </w:tc>
        <w:tc>
          <w:tcPr>
            <w:tcW w:w="569" w:type="pct"/>
            <w:noWrap/>
            <w:vAlign w:val="center"/>
            <w:hideMark/>
          </w:tcPr>
          <w:p w14:paraId="77E86206"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p>
        </w:tc>
        <w:tc>
          <w:tcPr>
            <w:tcW w:w="569" w:type="pct"/>
            <w:noWrap/>
            <w:vAlign w:val="center"/>
            <w:hideMark/>
          </w:tcPr>
          <w:p w14:paraId="2905863A"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0</w:t>
            </w:r>
            <w:r>
              <w:t>.</w:t>
            </w:r>
            <w:r w:rsidRPr="00C62602">
              <w:t>13</w:t>
            </w:r>
          </w:p>
        </w:tc>
      </w:tr>
      <w:tr w:rsidR="00BA1E77" w:rsidRPr="00C62602" w14:paraId="26DD639A" w14:textId="77777777" w:rsidTr="00C70998">
        <w:trPr>
          <w:gridAfter w:val="1"/>
          <w:wAfter w:w="6" w:type="pct"/>
          <w:trHeight w:val="295"/>
        </w:trPr>
        <w:tc>
          <w:tcPr>
            <w:cnfStyle w:val="001000000000" w:firstRow="0" w:lastRow="0" w:firstColumn="1" w:lastColumn="0" w:oddVBand="0" w:evenVBand="0" w:oddHBand="0" w:evenHBand="0" w:firstRowFirstColumn="0" w:firstRowLastColumn="0" w:lastRowFirstColumn="0" w:lastRowLastColumn="0"/>
            <w:tcW w:w="2719" w:type="pct"/>
            <w:noWrap/>
            <w:vAlign w:val="center"/>
            <w:hideMark/>
          </w:tcPr>
          <w:p w14:paraId="6783D729" w14:textId="77777777" w:rsidR="00BA1E77" w:rsidRPr="00C62602" w:rsidRDefault="00BA1E77" w:rsidP="00C70998">
            <w:pPr>
              <w:pStyle w:val="JRCTabletext10pt"/>
            </w:pPr>
            <w:r w:rsidRPr="00C62602">
              <w:t>Program</w:t>
            </w:r>
            <w:r>
              <w:t>me</w:t>
            </w:r>
            <w:r w:rsidRPr="00C62602">
              <w:t xml:space="preserve"> for encouraging innovations in the function of energy efficiency in industry</w:t>
            </w:r>
          </w:p>
        </w:tc>
        <w:tc>
          <w:tcPr>
            <w:tcW w:w="569" w:type="pct"/>
            <w:noWrap/>
            <w:vAlign w:val="center"/>
            <w:hideMark/>
          </w:tcPr>
          <w:p w14:paraId="47E22738"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p>
        </w:tc>
        <w:tc>
          <w:tcPr>
            <w:tcW w:w="569" w:type="pct"/>
            <w:noWrap/>
            <w:vAlign w:val="center"/>
            <w:hideMark/>
          </w:tcPr>
          <w:p w14:paraId="4A077BB1"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p>
        </w:tc>
        <w:tc>
          <w:tcPr>
            <w:tcW w:w="569" w:type="pct"/>
            <w:noWrap/>
            <w:vAlign w:val="center"/>
            <w:hideMark/>
          </w:tcPr>
          <w:p w14:paraId="1C2101CE"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1</w:t>
            </w:r>
            <w:r>
              <w:t>.</w:t>
            </w:r>
            <w:r w:rsidRPr="00C62602">
              <w:t>6</w:t>
            </w:r>
            <w:r>
              <w:t>4</w:t>
            </w:r>
            <w:r w:rsidRPr="00C62602">
              <w:t xml:space="preserve"> </w:t>
            </w:r>
          </w:p>
        </w:tc>
        <w:tc>
          <w:tcPr>
            <w:tcW w:w="569" w:type="pct"/>
            <w:noWrap/>
            <w:vAlign w:val="center"/>
            <w:hideMark/>
          </w:tcPr>
          <w:p w14:paraId="394F00C5"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1</w:t>
            </w:r>
            <w:r>
              <w:t>.</w:t>
            </w:r>
            <w:r w:rsidRPr="00C62602">
              <w:t>6</w:t>
            </w:r>
            <w:r>
              <w:t>4</w:t>
            </w:r>
          </w:p>
        </w:tc>
      </w:tr>
      <w:tr w:rsidR="00BA1E77" w:rsidRPr="00C62602" w14:paraId="3287E20D" w14:textId="77777777" w:rsidTr="00C70998">
        <w:trPr>
          <w:gridAfter w:val="1"/>
          <w:wAfter w:w="6" w:type="pct"/>
          <w:trHeight w:val="295"/>
        </w:trPr>
        <w:tc>
          <w:tcPr>
            <w:cnfStyle w:val="001000000000" w:firstRow="0" w:lastRow="0" w:firstColumn="1" w:lastColumn="0" w:oddVBand="0" w:evenVBand="0" w:oddHBand="0" w:evenHBand="0" w:firstRowFirstColumn="0" w:firstRowLastColumn="0" w:lastRowFirstColumn="0" w:lastRowLastColumn="0"/>
            <w:tcW w:w="2719" w:type="pct"/>
            <w:noWrap/>
            <w:vAlign w:val="center"/>
            <w:hideMark/>
          </w:tcPr>
          <w:p w14:paraId="1642E337" w14:textId="77777777" w:rsidR="00BA1E77" w:rsidRPr="00C62602" w:rsidRDefault="00BA1E77" w:rsidP="00C70998">
            <w:pPr>
              <w:pStyle w:val="JRCTabletext10pt"/>
            </w:pPr>
            <w:r w:rsidRPr="00C62602">
              <w:t>Program</w:t>
            </w:r>
            <w:r>
              <w:t>me</w:t>
            </w:r>
            <w:r w:rsidRPr="00C62602">
              <w:t xml:space="preserve"> for strengthening the innovation of newly established or existing micro, small and medium-sized enterprises</w:t>
            </w:r>
          </w:p>
        </w:tc>
        <w:tc>
          <w:tcPr>
            <w:tcW w:w="569" w:type="pct"/>
            <w:noWrap/>
            <w:vAlign w:val="center"/>
            <w:hideMark/>
          </w:tcPr>
          <w:p w14:paraId="1F136769"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p>
        </w:tc>
        <w:tc>
          <w:tcPr>
            <w:tcW w:w="569" w:type="pct"/>
            <w:noWrap/>
            <w:vAlign w:val="center"/>
            <w:hideMark/>
          </w:tcPr>
          <w:p w14:paraId="4672E3FC"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1</w:t>
            </w:r>
            <w:r>
              <w:t>.</w:t>
            </w:r>
            <w:r w:rsidRPr="00C62602">
              <w:t>23</w:t>
            </w:r>
          </w:p>
        </w:tc>
        <w:tc>
          <w:tcPr>
            <w:tcW w:w="569" w:type="pct"/>
            <w:noWrap/>
            <w:vAlign w:val="center"/>
            <w:hideMark/>
          </w:tcPr>
          <w:p w14:paraId="40A12745"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p>
        </w:tc>
        <w:tc>
          <w:tcPr>
            <w:tcW w:w="569" w:type="pct"/>
            <w:noWrap/>
            <w:vAlign w:val="center"/>
            <w:hideMark/>
          </w:tcPr>
          <w:p w14:paraId="016C4B0D"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1</w:t>
            </w:r>
            <w:r>
              <w:t>.</w:t>
            </w:r>
            <w:r w:rsidRPr="00C62602">
              <w:t>23</w:t>
            </w:r>
          </w:p>
        </w:tc>
      </w:tr>
      <w:tr w:rsidR="00BA1E77" w:rsidRPr="00C62602" w14:paraId="4DB741EF" w14:textId="77777777" w:rsidTr="00C70998">
        <w:trPr>
          <w:gridAfter w:val="1"/>
          <w:wAfter w:w="6" w:type="pct"/>
          <w:trHeight w:val="295"/>
        </w:trPr>
        <w:tc>
          <w:tcPr>
            <w:cnfStyle w:val="001000000000" w:firstRow="0" w:lastRow="0" w:firstColumn="1" w:lastColumn="0" w:oddVBand="0" w:evenVBand="0" w:oddHBand="0" w:evenHBand="0" w:firstRowFirstColumn="0" w:firstRowLastColumn="0" w:lastRowFirstColumn="0" w:lastRowLastColumn="0"/>
            <w:tcW w:w="2719" w:type="pct"/>
            <w:noWrap/>
            <w:vAlign w:val="center"/>
            <w:hideMark/>
          </w:tcPr>
          <w:p w14:paraId="21F7ECA2" w14:textId="77777777" w:rsidR="00BA1E77" w:rsidRPr="00C62602" w:rsidRDefault="00BA1E77" w:rsidP="00C70998">
            <w:pPr>
              <w:pStyle w:val="JRCTabletext10pt"/>
            </w:pPr>
            <w:r w:rsidRPr="00C62602">
              <w:t>Proof of innovative concept</w:t>
            </w:r>
          </w:p>
        </w:tc>
        <w:tc>
          <w:tcPr>
            <w:tcW w:w="569" w:type="pct"/>
            <w:noWrap/>
            <w:vAlign w:val="center"/>
            <w:hideMark/>
          </w:tcPr>
          <w:p w14:paraId="3F3DD503"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p>
        </w:tc>
        <w:tc>
          <w:tcPr>
            <w:tcW w:w="569" w:type="pct"/>
            <w:noWrap/>
            <w:vAlign w:val="center"/>
            <w:hideMark/>
          </w:tcPr>
          <w:p w14:paraId="4221A13B"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0</w:t>
            </w:r>
            <w:r>
              <w:t>.</w:t>
            </w:r>
            <w:r w:rsidRPr="00C62602">
              <w:t>30</w:t>
            </w:r>
          </w:p>
        </w:tc>
        <w:tc>
          <w:tcPr>
            <w:tcW w:w="569" w:type="pct"/>
            <w:noWrap/>
            <w:vAlign w:val="center"/>
            <w:hideMark/>
          </w:tcPr>
          <w:p w14:paraId="1F331B05"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p>
        </w:tc>
        <w:tc>
          <w:tcPr>
            <w:tcW w:w="569" w:type="pct"/>
            <w:noWrap/>
            <w:vAlign w:val="center"/>
            <w:hideMark/>
          </w:tcPr>
          <w:p w14:paraId="06A04658"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0</w:t>
            </w:r>
            <w:r>
              <w:t>.</w:t>
            </w:r>
            <w:r w:rsidRPr="00C62602">
              <w:t>30</w:t>
            </w:r>
          </w:p>
        </w:tc>
      </w:tr>
      <w:tr w:rsidR="00BA1E77" w:rsidRPr="00C62602" w14:paraId="57593C68" w14:textId="77777777" w:rsidTr="00C70998">
        <w:trPr>
          <w:gridAfter w:val="1"/>
          <w:wAfter w:w="6" w:type="pct"/>
          <w:trHeight w:val="295"/>
        </w:trPr>
        <w:tc>
          <w:tcPr>
            <w:cnfStyle w:val="001000000000" w:firstRow="0" w:lastRow="0" w:firstColumn="1" w:lastColumn="0" w:oddVBand="0" w:evenVBand="0" w:oddHBand="0" w:evenHBand="0" w:firstRowFirstColumn="0" w:firstRowLastColumn="0" w:lastRowFirstColumn="0" w:lastRowLastColumn="0"/>
            <w:tcW w:w="2719" w:type="pct"/>
            <w:noWrap/>
            <w:vAlign w:val="center"/>
            <w:hideMark/>
          </w:tcPr>
          <w:p w14:paraId="0A694EDC" w14:textId="77777777" w:rsidR="00BA1E77" w:rsidRPr="00C62602" w:rsidRDefault="00BA1E77" w:rsidP="00C70998">
            <w:pPr>
              <w:pStyle w:val="JRCTabletext10pt"/>
            </w:pPr>
            <w:r w:rsidRPr="00C62602">
              <w:t>Support for the early phase development of start-ups</w:t>
            </w:r>
          </w:p>
        </w:tc>
        <w:tc>
          <w:tcPr>
            <w:tcW w:w="569" w:type="pct"/>
            <w:noWrap/>
            <w:vAlign w:val="center"/>
            <w:hideMark/>
          </w:tcPr>
          <w:p w14:paraId="05030A05"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p>
        </w:tc>
        <w:tc>
          <w:tcPr>
            <w:tcW w:w="569" w:type="pct"/>
            <w:noWrap/>
            <w:vAlign w:val="center"/>
            <w:hideMark/>
          </w:tcPr>
          <w:p w14:paraId="60A408DA"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0</w:t>
            </w:r>
            <w:r>
              <w:t>.</w:t>
            </w:r>
            <w:r w:rsidRPr="00C62602">
              <w:t>52</w:t>
            </w:r>
          </w:p>
        </w:tc>
        <w:tc>
          <w:tcPr>
            <w:tcW w:w="569" w:type="pct"/>
            <w:noWrap/>
            <w:vAlign w:val="center"/>
            <w:hideMark/>
          </w:tcPr>
          <w:p w14:paraId="0FF48564"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p>
        </w:tc>
        <w:tc>
          <w:tcPr>
            <w:tcW w:w="569" w:type="pct"/>
            <w:noWrap/>
            <w:vAlign w:val="center"/>
            <w:hideMark/>
          </w:tcPr>
          <w:p w14:paraId="32ADF9E9"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0</w:t>
            </w:r>
            <w:r>
              <w:t>.</w:t>
            </w:r>
            <w:r w:rsidRPr="00C62602">
              <w:t>52</w:t>
            </w:r>
          </w:p>
        </w:tc>
      </w:tr>
      <w:tr w:rsidR="00BA1E77" w:rsidRPr="00C62602" w14:paraId="1FD96B1F" w14:textId="77777777" w:rsidTr="00C70998">
        <w:trPr>
          <w:gridAfter w:val="1"/>
          <w:wAfter w:w="6" w:type="pct"/>
          <w:trHeight w:val="295"/>
        </w:trPr>
        <w:tc>
          <w:tcPr>
            <w:cnfStyle w:val="001000000000" w:firstRow="0" w:lastRow="0" w:firstColumn="1" w:lastColumn="0" w:oddVBand="0" w:evenVBand="0" w:oddHBand="0" w:evenHBand="0" w:firstRowFirstColumn="0" w:firstRowLastColumn="0" w:lastRowFirstColumn="0" w:lastRowLastColumn="0"/>
            <w:tcW w:w="2719" w:type="pct"/>
            <w:noWrap/>
            <w:vAlign w:val="center"/>
            <w:hideMark/>
          </w:tcPr>
          <w:p w14:paraId="156F36AE" w14:textId="77777777" w:rsidR="00BA1E77" w:rsidRPr="00C62602" w:rsidRDefault="00BA1E77" w:rsidP="00C70998">
            <w:pPr>
              <w:pStyle w:val="JRCTabletext10pt"/>
            </w:pPr>
            <w:r w:rsidRPr="00C62602">
              <w:t>Vouchers for the protection of invention</w:t>
            </w:r>
          </w:p>
        </w:tc>
        <w:tc>
          <w:tcPr>
            <w:tcW w:w="569" w:type="pct"/>
            <w:noWrap/>
            <w:vAlign w:val="center"/>
            <w:hideMark/>
          </w:tcPr>
          <w:p w14:paraId="66915CF8"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p>
        </w:tc>
        <w:tc>
          <w:tcPr>
            <w:tcW w:w="569" w:type="pct"/>
            <w:noWrap/>
            <w:vAlign w:val="center"/>
            <w:hideMark/>
          </w:tcPr>
          <w:p w14:paraId="71A872ED"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0</w:t>
            </w:r>
            <w:r>
              <w:t>.</w:t>
            </w:r>
            <w:r w:rsidRPr="00C62602">
              <w:t>03</w:t>
            </w:r>
          </w:p>
        </w:tc>
        <w:tc>
          <w:tcPr>
            <w:tcW w:w="569" w:type="pct"/>
            <w:noWrap/>
            <w:vAlign w:val="center"/>
            <w:hideMark/>
          </w:tcPr>
          <w:p w14:paraId="664DF052"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0</w:t>
            </w:r>
            <w:r>
              <w:t>.</w:t>
            </w:r>
            <w:r w:rsidRPr="00C62602">
              <w:t xml:space="preserve">02 </w:t>
            </w:r>
          </w:p>
        </w:tc>
        <w:tc>
          <w:tcPr>
            <w:tcW w:w="569" w:type="pct"/>
            <w:noWrap/>
            <w:vAlign w:val="center"/>
            <w:hideMark/>
          </w:tcPr>
          <w:p w14:paraId="57096E4D"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pPr>
            <w:r w:rsidRPr="00C62602">
              <w:t>0</w:t>
            </w:r>
            <w:r>
              <w:t>.</w:t>
            </w:r>
            <w:r w:rsidRPr="00C62602">
              <w:t>0</w:t>
            </w:r>
            <w:r>
              <w:t>5</w:t>
            </w:r>
          </w:p>
        </w:tc>
      </w:tr>
      <w:tr w:rsidR="00BA1E77" w:rsidRPr="00C62602" w14:paraId="59CF313D" w14:textId="77777777" w:rsidTr="00C70998">
        <w:trPr>
          <w:gridAfter w:val="1"/>
          <w:wAfter w:w="6" w:type="pct"/>
          <w:trHeight w:val="177"/>
        </w:trPr>
        <w:tc>
          <w:tcPr>
            <w:cnfStyle w:val="001000000000" w:firstRow="0" w:lastRow="0" w:firstColumn="1" w:lastColumn="0" w:oddVBand="0" w:evenVBand="0" w:oddHBand="0" w:evenHBand="0" w:firstRowFirstColumn="0" w:firstRowLastColumn="0" w:lastRowFirstColumn="0" w:lastRowLastColumn="0"/>
            <w:tcW w:w="2719" w:type="pct"/>
            <w:noWrap/>
            <w:vAlign w:val="center"/>
            <w:hideMark/>
          </w:tcPr>
          <w:p w14:paraId="72EF545B" w14:textId="77777777" w:rsidR="00BA1E77" w:rsidRPr="00C62602" w:rsidRDefault="00BA1E77" w:rsidP="00C70998">
            <w:pPr>
              <w:pStyle w:val="JRCTabletext10pt"/>
              <w:rPr>
                <w:b w:val="0"/>
                <w:bCs/>
              </w:rPr>
            </w:pPr>
            <w:r w:rsidRPr="00C62602">
              <w:rPr>
                <w:bCs/>
              </w:rPr>
              <w:t>Total</w:t>
            </w:r>
          </w:p>
        </w:tc>
        <w:tc>
          <w:tcPr>
            <w:tcW w:w="569" w:type="pct"/>
            <w:noWrap/>
            <w:vAlign w:val="center"/>
            <w:hideMark/>
          </w:tcPr>
          <w:p w14:paraId="62842DED"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rPr>
                <w:bCs/>
              </w:rPr>
            </w:pPr>
            <w:r w:rsidRPr="00C62602">
              <w:rPr>
                <w:bCs/>
              </w:rPr>
              <w:t>1</w:t>
            </w:r>
            <w:r>
              <w:rPr>
                <w:bCs/>
              </w:rPr>
              <w:t>.</w:t>
            </w:r>
            <w:r w:rsidRPr="00C62602">
              <w:rPr>
                <w:bCs/>
              </w:rPr>
              <w:t>8</w:t>
            </w:r>
            <w:r>
              <w:rPr>
                <w:bCs/>
              </w:rPr>
              <w:t>3</w:t>
            </w:r>
          </w:p>
        </w:tc>
        <w:tc>
          <w:tcPr>
            <w:tcW w:w="569" w:type="pct"/>
            <w:noWrap/>
            <w:vAlign w:val="center"/>
            <w:hideMark/>
          </w:tcPr>
          <w:p w14:paraId="03E2DB81"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rPr>
                <w:bCs/>
              </w:rPr>
            </w:pPr>
            <w:r w:rsidRPr="00C62602">
              <w:rPr>
                <w:bCs/>
              </w:rPr>
              <w:t>2</w:t>
            </w:r>
            <w:r>
              <w:rPr>
                <w:bCs/>
              </w:rPr>
              <w:t>.</w:t>
            </w:r>
            <w:r w:rsidRPr="00C62602">
              <w:rPr>
                <w:bCs/>
              </w:rPr>
              <w:t>4</w:t>
            </w:r>
            <w:r>
              <w:rPr>
                <w:bCs/>
              </w:rPr>
              <w:t>2</w:t>
            </w:r>
          </w:p>
        </w:tc>
        <w:tc>
          <w:tcPr>
            <w:tcW w:w="569" w:type="pct"/>
            <w:noWrap/>
            <w:vAlign w:val="center"/>
            <w:hideMark/>
          </w:tcPr>
          <w:p w14:paraId="310BA7C0"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rPr>
                <w:bCs/>
              </w:rPr>
            </w:pPr>
            <w:r w:rsidRPr="00C62602">
              <w:rPr>
                <w:bCs/>
              </w:rPr>
              <w:t>1</w:t>
            </w:r>
            <w:r>
              <w:rPr>
                <w:bCs/>
              </w:rPr>
              <w:t>.</w:t>
            </w:r>
            <w:r w:rsidRPr="00C62602">
              <w:rPr>
                <w:bCs/>
              </w:rPr>
              <w:t xml:space="preserve">66 </w:t>
            </w:r>
          </w:p>
        </w:tc>
        <w:tc>
          <w:tcPr>
            <w:tcW w:w="569" w:type="pct"/>
            <w:noWrap/>
            <w:vAlign w:val="center"/>
            <w:hideMark/>
          </w:tcPr>
          <w:p w14:paraId="272F39F5" w14:textId="77777777" w:rsidR="00BA1E77" w:rsidRPr="00C62602" w:rsidRDefault="00BA1E77" w:rsidP="00C70998">
            <w:pPr>
              <w:pStyle w:val="JRCTabletext10pt"/>
              <w:cnfStyle w:val="000000000000" w:firstRow="0" w:lastRow="0" w:firstColumn="0" w:lastColumn="0" w:oddVBand="0" w:evenVBand="0" w:oddHBand="0" w:evenHBand="0" w:firstRowFirstColumn="0" w:firstRowLastColumn="0" w:lastRowFirstColumn="0" w:lastRowLastColumn="0"/>
              <w:rPr>
                <w:bCs/>
              </w:rPr>
            </w:pPr>
            <w:r w:rsidRPr="00C62602">
              <w:rPr>
                <w:bCs/>
              </w:rPr>
              <w:t>5</w:t>
            </w:r>
            <w:r>
              <w:rPr>
                <w:bCs/>
              </w:rPr>
              <w:t>.</w:t>
            </w:r>
            <w:r w:rsidRPr="00C62602">
              <w:rPr>
                <w:bCs/>
              </w:rPr>
              <w:t>91</w:t>
            </w:r>
          </w:p>
        </w:tc>
      </w:tr>
    </w:tbl>
    <w:p w14:paraId="7CA0C4B4" w14:textId="77777777" w:rsidR="00BA1E77" w:rsidRPr="00913B46" w:rsidRDefault="00BA1E77" w:rsidP="00BA1E77">
      <w:pPr>
        <w:pStyle w:val="JRCTablesource"/>
      </w:pPr>
      <w:r w:rsidRPr="00913B46">
        <w:rPr>
          <w:b/>
          <w:bCs/>
        </w:rPr>
        <w:t>Source:</w:t>
      </w:r>
      <w:r w:rsidRPr="00913B46">
        <w:t xml:space="preserve"> Innovation Fund of Montenegro</w:t>
      </w:r>
    </w:p>
    <w:p w14:paraId="3EA71B89" w14:textId="77777777" w:rsidR="00BA1E77" w:rsidRPr="00DB00D1" w:rsidRDefault="00BA1E77" w:rsidP="00BA1E77">
      <w:pPr>
        <w:pStyle w:val="JRCTabletitle"/>
      </w:pPr>
      <w:bookmarkStart w:id="102" w:name="_Toc220938968"/>
      <w:bookmarkStart w:id="103" w:name="_Toc221271678"/>
      <w:r w:rsidRPr="00C62602">
        <w:rPr>
          <w:b/>
          <w:bCs/>
        </w:rPr>
        <w:t xml:space="preserve">Table </w:t>
      </w:r>
      <w:r w:rsidRPr="00C62602">
        <w:rPr>
          <w:b/>
          <w:bCs/>
        </w:rPr>
        <w:fldChar w:fldCharType="begin"/>
      </w:r>
      <w:r w:rsidRPr="00C62602">
        <w:rPr>
          <w:b/>
          <w:bCs/>
        </w:rPr>
        <w:instrText xml:space="preserve"> SEQ Table \* ARABIC </w:instrText>
      </w:r>
      <w:r w:rsidRPr="00C62602">
        <w:rPr>
          <w:b/>
          <w:bCs/>
        </w:rPr>
        <w:fldChar w:fldCharType="separate"/>
      </w:r>
      <w:r>
        <w:rPr>
          <w:b/>
          <w:bCs/>
          <w:noProof/>
        </w:rPr>
        <w:t>16</w:t>
      </w:r>
      <w:r w:rsidRPr="00C62602">
        <w:rPr>
          <w:b/>
          <w:bCs/>
        </w:rPr>
        <w:fldChar w:fldCharType="end"/>
      </w:r>
      <w:r w:rsidRPr="00913B46">
        <w:rPr>
          <w:b/>
          <w:bCs/>
        </w:rPr>
        <w:t>.</w:t>
      </w:r>
      <w:r w:rsidRPr="00DB00D1">
        <w:t xml:space="preserve"> Total amount of the approved projects by S3 priority for each program</w:t>
      </w:r>
      <w:r>
        <w:t>me</w:t>
      </w:r>
      <w:r w:rsidRPr="00DB00D1">
        <w:t xml:space="preserve"> line (</w:t>
      </w:r>
      <w:r>
        <w:rPr>
          <w:color w:val="000000"/>
        </w:rPr>
        <w:t>EUR</w:t>
      </w:r>
      <w:r w:rsidRPr="00DB00D1">
        <w:t xml:space="preserve"> million)</w:t>
      </w:r>
      <w:bookmarkEnd w:id="102"/>
      <w:bookmarkEnd w:id="103"/>
    </w:p>
    <w:tbl>
      <w:tblPr>
        <w:tblStyle w:val="JRCTableBasic"/>
        <w:tblW w:w="5000" w:type="pct"/>
        <w:tblLayout w:type="fixed"/>
        <w:tblLook w:val="04A0" w:firstRow="1" w:lastRow="0" w:firstColumn="1" w:lastColumn="0" w:noHBand="0" w:noVBand="1"/>
      </w:tblPr>
      <w:tblGrid>
        <w:gridCol w:w="1663"/>
        <w:gridCol w:w="1250"/>
        <w:gridCol w:w="554"/>
        <w:gridCol w:w="642"/>
        <w:gridCol w:w="795"/>
        <w:gridCol w:w="1196"/>
        <w:gridCol w:w="1196"/>
        <w:gridCol w:w="1062"/>
        <w:gridCol w:w="658"/>
      </w:tblGrid>
      <w:tr w:rsidR="00BA1E77" w:rsidRPr="000A50E9" w14:paraId="210D327C" w14:textId="77777777" w:rsidTr="00C70998">
        <w:trPr>
          <w:cnfStyle w:val="100000000000" w:firstRow="1" w:lastRow="0" w:firstColumn="0" w:lastColumn="0" w:oddVBand="0" w:evenVBand="0" w:oddHBand="0" w:evenHBand="0" w:firstRowFirstColumn="0" w:firstRowLastColumn="0" w:lastRowFirstColumn="0" w:lastRowLastColumn="0"/>
          <w:trHeight w:val="297"/>
        </w:trPr>
        <w:tc>
          <w:tcPr>
            <w:cnfStyle w:val="001000000000" w:firstRow="0" w:lastRow="0" w:firstColumn="1" w:lastColumn="0" w:oddVBand="0" w:evenVBand="0" w:oddHBand="0" w:evenHBand="0" w:firstRowFirstColumn="0" w:firstRowLastColumn="0" w:lastRowFirstColumn="0" w:lastRowLastColumn="0"/>
            <w:tcW w:w="923" w:type="pct"/>
            <w:noWrap/>
            <w:vAlign w:val="center"/>
            <w:hideMark/>
          </w:tcPr>
          <w:p w14:paraId="2BD83136" w14:textId="77777777" w:rsidR="00BA1E77" w:rsidRPr="000A50E9" w:rsidRDefault="00BA1E77" w:rsidP="00C70998">
            <w:pPr>
              <w:pStyle w:val="JRCTabletext9pt"/>
            </w:pPr>
          </w:p>
        </w:tc>
        <w:tc>
          <w:tcPr>
            <w:tcW w:w="4077" w:type="pct"/>
            <w:gridSpan w:val="8"/>
            <w:noWrap/>
            <w:vAlign w:val="center"/>
            <w:hideMark/>
          </w:tcPr>
          <w:p w14:paraId="1FE4A150" w14:textId="77777777" w:rsidR="00BA1E77" w:rsidRPr="00640ACC" w:rsidRDefault="00BA1E77" w:rsidP="00C70998">
            <w:pPr>
              <w:pStyle w:val="JRCTableBoxtitle"/>
              <w:jc w:val="left"/>
              <w:cnfStyle w:val="100000000000" w:firstRow="1" w:lastRow="0" w:firstColumn="0" w:lastColumn="0" w:oddVBand="0" w:evenVBand="0" w:oddHBand="0" w:evenHBand="0" w:firstRowFirstColumn="0" w:firstRowLastColumn="0" w:lastRowFirstColumn="0" w:lastRowLastColumn="0"/>
              <w:rPr>
                <w:b/>
                <w:bCs/>
                <w:sz w:val="18"/>
                <w:szCs w:val="21"/>
              </w:rPr>
            </w:pPr>
            <w:r w:rsidRPr="00640ACC">
              <w:rPr>
                <w:b/>
                <w:bCs/>
                <w:sz w:val="18"/>
                <w:szCs w:val="21"/>
              </w:rPr>
              <w:t>S3 priority areas</w:t>
            </w:r>
          </w:p>
        </w:tc>
      </w:tr>
      <w:tr w:rsidR="00BA1E77" w:rsidRPr="000A50E9" w14:paraId="14FEBCA1" w14:textId="77777777" w:rsidTr="00C70998">
        <w:trPr>
          <w:trHeight w:val="297"/>
        </w:trPr>
        <w:tc>
          <w:tcPr>
            <w:cnfStyle w:val="001000000000" w:firstRow="0" w:lastRow="0" w:firstColumn="1" w:lastColumn="0" w:oddVBand="0" w:evenVBand="0" w:oddHBand="0" w:evenHBand="0" w:firstRowFirstColumn="0" w:firstRowLastColumn="0" w:lastRowFirstColumn="0" w:lastRowLastColumn="0"/>
            <w:tcW w:w="923" w:type="pct"/>
            <w:noWrap/>
            <w:vAlign w:val="center"/>
            <w:hideMark/>
          </w:tcPr>
          <w:p w14:paraId="12569046" w14:textId="77777777" w:rsidR="00BA1E77" w:rsidRPr="00640ACC" w:rsidRDefault="00BA1E77" w:rsidP="00C70998">
            <w:pPr>
              <w:pStyle w:val="JRCTableBoxtitle"/>
              <w:jc w:val="left"/>
              <w:rPr>
                <w:b/>
                <w:bCs/>
                <w:sz w:val="18"/>
                <w:szCs w:val="21"/>
              </w:rPr>
            </w:pPr>
            <w:r w:rsidRPr="00640ACC">
              <w:rPr>
                <w:b/>
                <w:bCs/>
                <w:sz w:val="18"/>
                <w:szCs w:val="21"/>
              </w:rPr>
              <w:t>Program</w:t>
            </w:r>
            <w:r>
              <w:rPr>
                <w:b/>
                <w:bCs/>
                <w:sz w:val="18"/>
                <w:szCs w:val="21"/>
              </w:rPr>
              <w:t>ME</w:t>
            </w:r>
            <w:r w:rsidRPr="00640ACC">
              <w:rPr>
                <w:b/>
                <w:bCs/>
                <w:sz w:val="18"/>
                <w:szCs w:val="21"/>
              </w:rPr>
              <w:t xml:space="preserve"> Line</w:t>
            </w:r>
          </w:p>
        </w:tc>
        <w:tc>
          <w:tcPr>
            <w:tcW w:w="693" w:type="pct"/>
            <w:noWrap/>
            <w:vAlign w:val="center"/>
            <w:hideMark/>
          </w:tcPr>
          <w:p w14:paraId="1DE97D03" w14:textId="77777777" w:rsidR="00BA1E77" w:rsidRPr="00D37FF3" w:rsidRDefault="00BA1E77" w:rsidP="00C70998">
            <w:pPr>
              <w:pStyle w:val="JRCTabletext9pt"/>
              <w:cnfStyle w:val="000000000000" w:firstRow="0" w:lastRow="0" w:firstColumn="0" w:lastColumn="0" w:oddVBand="0" w:evenVBand="0" w:oddHBand="0" w:evenHBand="0" w:firstRowFirstColumn="0" w:firstRowLastColumn="0" w:lastRowFirstColumn="0" w:lastRowLastColumn="0"/>
              <w:rPr>
                <w:b/>
                <w:bCs/>
              </w:rPr>
            </w:pPr>
            <w:r w:rsidRPr="00D37FF3">
              <w:rPr>
                <w:b/>
                <w:bCs/>
              </w:rPr>
              <w:t>Energy and Sustainable Environment</w:t>
            </w:r>
          </w:p>
        </w:tc>
        <w:tc>
          <w:tcPr>
            <w:tcW w:w="307" w:type="pct"/>
            <w:noWrap/>
            <w:vAlign w:val="center"/>
            <w:hideMark/>
          </w:tcPr>
          <w:p w14:paraId="216D9CAE" w14:textId="77777777" w:rsidR="00BA1E77" w:rsidRPr="00D37FF3" w:rsidRDefault="00BA1E77" w:rsidP="00C70998">
            <w:pPr>
              <w:pStyle w:val="JRCTabletext9pt"/>
              <w:cnfStyle w:val="000000000000" w:firstRow="0" w:lastRow="0" w:firstColumn="0" w:lastColumn="0" w:oddVBand="0" w:evenVBand="0" w:oddHBand="0" w:evenHBand="0" w:firstRowFirstColumn="0" w:firstRowLastColumn="0" w:lastRowFirstColumn="0" w:lastRowLastColumn="0"/>
              <w:rPr>
                <w:b/>
                <w:bCs/>
              </w:rPr>
            </w:pPr>
            <w:r w:rsidRPr="00D37FF3">
              <w:rPr>
                <w:b/>
                <w:bCs/>
              </w:rPr>
              <w:t>ICT</w:t>
            </w:r>
          </w:p>
        </w:tc>
        <w:tc>
          <w:tcPr>
            <w:tcW w:w="356" w:type="pct"/>
            <w:noWrap/>
            <w:vAlign w:val="center"/>
            <w:hideMark/>
          </w:tcPr>
          <w:p w14:paraId="052088B8" w14:textId="77777777" w:rsidR="00BA1E77" w:rsidRPr="00D37FF3" w:rsidRDefault="00BA1E77" w:rsidP="00C70998">
            <w:pPr>
              <w:pStyle w:val="JRCTabletext9pt"/>
              <w:cnfStyle w:val="000000000000" w:firstRow="0" w:lastRow="0" w:firstColumn="0" w:lastColumn="0" w:oddVBand="0" w:evenVBand="0" w:oddHBand="0" w:evenHBand="0" w:firstRowFirstColumn="0" w:firstRowLastColumn="0" w:lastRowFirstColumn="0" w:lastRowLastColumn="0"/>
              <w:rPr>
                <w:b/>
                <w:bCs/>
              </w:rPr>
            </w:pPr>
            <w:r w:rsidRPr="00D37FF3">
              <w:rPr>
                <w:b/>
                <w:bCs/>
              </w:rPr>
              <w:t>Other</w:t>
            </w:r>
          </w:p>
        </w:tc>
        <w:tc>
          <w:tcPr>
            <w:tcW w:w="441" w:type="pct"/>
            <w:noWrap/>
            <w:vAlign w:val="center"/>
            <w:hideMark/>
          </w:tcPr>
          <w:p w14:paraId="4C29B596" w14:textId="77777777" w:rsidR="00BA1E77" w:rsidRPr="00D37FF3" w:rsidRDefault="00BA1E77" w:rsidP="00C70998">
            <w:pPr>
              <w:pStyle w:val="JRCTabletext9pt"/>
              <w:cnfStyle w:val="000000000000" w:firstRow="0" w:lastRow="0" w:firstColumn="0" w:lastColumn="0" w:oddVBand="0" w:evenVBand="0" w:oddHBand="0" w:evenHBand="0" w:firstRowFirstColumn="0" w:firstRowLastColumn="0" w:lastRowFirstColumn="0" w:lastRowLastColumn="0"/>
              <w:rPr>
                <w:b/>
                <w:bCs/>
              </w:rPr>
            </w:pPr>
            <w:r w:rsidRPr="00D37FF3">
              <w:rPr>
                <w:b/>
                <w:bCs/>
              </w:rPr>
              <w:t xml:space="preserve">Other- </w:t>
            </w:r>
            <w:proofErr w:type="spellStart"/>
            <w:r w:rsidRPr="00D37FF3">
              <w:rPr>
                <w:b/>
                <w:bCs/>
              </w:rPr>
              <w:t>nautica</w:t>
            </w:r>
            <w:proofErr w:type="spellEnd"/>
          </w:p>
        </w:tc>
        <w:tc>
          <w:tcPr>
            <w:tcW w:w="663" w:type="pct"/>
            <w:noWrap/>
            <w:vAlign w:val="center"/>
            <w:hideMark/>
          </w:tcPr>
          <w:p w14:paraId="772824EA" w14:textId="77777777" w:rsidR="00BA1E77" w:rsidRPr="00D37FF3" w:rsidRDefault="00BA1E77" w:rsidP="00C70998">
            <w:pPr>
              <w:pStyle w:val="JRCTabletext9pt"/>
              <w:cnfStyle w:val="000000000000" w:firstRow="0" w:lastRow="0" w:firstColumn="0" w:lastColumn="0" w:oddVBand="0" w:evenVBand="0" w:oddHBand="0" w:evenHBand="0" w:firstRowFirstColumn="0" w:firstRowLastColumn="0" w:lastRowFirstColumn="0" w:lastRowLastColumn="0"/>
              <w:rPr>
                <w:b/>
                <w:bCs/>
              </w:rPr>
            </w:pPr>
            <w:r w:rsidRPr="00D37FF3">
              <w:rPr>
                <w:b/>
                <w:bCs/>
              </w:rPr>
              <w:t>Other: construction</w:t>
            </w:r>
          </w:p>
        </w:tc>
        <w:tc>
          <w:tcPr>
            <w:tcW w:w="663" w:type="pct"/>
            <w:noWrap/>
            <w:vAlign w:val="center"/>
            <w:hideMark/>
          </w:tcPr>
          <w:p w14:paraId="5A1D14A6" w14:textId="77777777" w:rsidR="00BA1E77" w:rsidRPr="00D37FF3" w:rsidRDefault="00BA1E77" w:rsidP="00C70998">
            <w:pPr>
              <w:pStyle w:val="JRCTabletext9pt"/>
              <w:cnfStyle w:val="000000000000" w:firstRow="0" w:lastRow="0" w:firstColumn="0" w:lastColumn="0" w:oddVBand="0" w:evenVBand="0" w:oddHBand="0" w:evenHBand="0" w:firstRowFirstColumn="0" w:firstRowLastColumn="0" w:lastRowFirstColumn="0" w:lastRowLastColumn="0"/>
              <w:rPr>
                <w:b/>
                <w:bCs/>
              </w:rPr>
            </w:pPr>
            <w:r w:rsidRPr="00D37FF3">
              <w:rPr>
                <w:b/>
                <w:bCs/>
              </w:rPr>
              <w:t>Sustainable Agriculture and Food Value Chain</w:t>
            </w:r>
          </w:p>
        </w:tc>
        <w:tc>
          <w:tcPr>
            <w:tcW w:w="589" w:type="pct"/>
            <w:noWrap/>
            <w:vAlign w:val="center"/>
            <w:hideMark/>
          </w:tcPr>
          <w:p w14:paraId="28AE1706" w14:textId="77777777" w:rsidR="00BA1E77" w:rsidRPr="00D37FF3" w:rsidRDefault="00BA1E77" w:rsidP="00C70998">
            <w:pPr>
              <w:pStyle w:val="JRCTabletext9pt"/>
              <w:cnfStyle w:val="000000000000" w:firstRow="0" w:lastRow="0" w:firstColumn="0" w:lastColumn="0" w:oddVBand="0" w:evenVBand="0" w:oddHBand="0" w:evenHBand="0" w:firstRowFirstColumn="0" w:firstRowLastColumn="0" w:lastRowFirstColumn="0" w:lastRowLastColumn="0"/>
              <w:rPr>
                <w:b/>
                <w:bCs/>
              </w:rPr>
            </w:pPr>
            <w:r w:rsidRPr="00D37FF3">
              <w:rPr>
                <w:b/>
                <w:bCs/>
              </w:rPr>
              <w:t>Sust</w:t>
            </w:r>
            <w:r>
              <w:rPr>
                <w:b/>
                <w:bCs/>
              </w:rPr>
              <w:t>.</w:t>
            </w:r>
            <w:r w:rsidRPr="00D37FF3">
              <w:rPr>
                <w:b/>
                <w:bCs/>
              </w:rPr>
              <w:t xml:space="preserve"> health tourism</w:t>
            </w:r>
          </w:p>
        </w:tc>
        <w:tc>
          <w:tcPr>
            <w:tcW w:w="365" w:type="pct"/>
            <w:noWrap/>
            <w:vAlign w:val="center"/>
            <w:hideMark/>
          </w:tcPr>
          <w:p w14:paraId="39B5F82E" w14:textId="77777777" w:rsidR="00BA1E77" w:rsidRPr="00D37FF3" w:rsidRDefault="00BA1E77" w:rsidP="00C70998">
            <w:pPr>
              <w:pStyle w:val="JRCTabletext9pt"/>
              <w:cnfStyle w:val="000000000000" w:firstRow="0" w:lastRow="0" w:firstColumn="0" w:lastColumn="0" w:oddVBand="0" w:evenVBand="0" w:oddHBand="0" w:evenHBand="0" w:firstRowFirstColumn="0" w:firstRowLastColumn="0" w:lastRowFirstColumn="0" w:lastRowLastColumn="0"/>
              <w:rPr>
                <w:b/>
                <w:bCs/>
              </w:rPr>
            </w:pPr>
            <w:r w:rsidRPr="00D37FF3">
              <w:rPr>
                <w:b/>
                <w:bCs/>
              </w:rPr>
              <w:t>Total</w:t>
            </w:r>
          </w:p>
        </w:tc>
      </w:tr>
      <w:tr w:rsidR="00BA1E77" w:rsidRPr="000A50E9" w14:paraId="1222D58C" w14:textId="77777777" w:rsidTr="00C70998">
        <w:trPr>
          <w:trHeight w:val="297"/>
        </w:trPr>
        <w:tc>
          <w:tcPr>
            <w:cnfStyle w:val="001000000000" w:firstRow="0" w:lastRow="0" w:firstColumn="1" w:lastColumn="0" w:oddVBand="0" w:evenVBand="0" w:oddHBand="0" w:evenHBand="0" w:firstRowFirstColumn="0" w:firstRowLastColumn="0" w:lastRowFirstColumn="0" w:lastRowLastColumn="0"/>
            <w:tcW w:w="923" w:type="pct"/>
            <w:noWrap/>
            <w:vAlign w:val="center"/>
            <w:hideMark/>
          </w:tcPr>
          <w:p w14:paraId="0B971DA5" w14:textId="77777777" w:rsidR="00BA1E77" w:rsidRPr="000A50E9" w:rsidRDefault="00BA1E77" w:rsidP="00C70998">
            <w:pPr>
              <w:pStyle w:val="JRCTabletext9pt"/>
            </w:pPr>
            <w:r w:rsidRPr="000A50E9">
              <w:t>Encouraging innovation culture</w:t>
            </w:r>
          </w:p>
        </w:tc>
        <w:tc>
          <w:tcPr>
            <w:tcW w:w="693" w:type="pct"/>
            <w:noWrap/>
            <w:vAlign w:val="center"/>
            <w:hideMark/>
          </w:tcPr>
          <w:p w14:paraId="3F58FC69" w14:textId="77777777" w:rsidR="00BA1E77" w:rsidRPr="000A50E9"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0A50E9">
              <w:t>0</w:t>
            </w:r>
            <w:r>
              <w:t>.</w:t>
            </w:r>
            <w:r w:rsidRPr="000A50E9">
              <w:t>01</w:t>
            </w:r>
          </w:p>
        </w:tc>
        <w:tc>
          <w:tcPr>
            <w:tcW w:w="307" w:type="pct"/>
            <w:noWrap/>
            <w:vAlign w:val="center"/>
            <w:hideMark/>
          </w:tcPr>
          <w:p w14:paraId="53D82E32" w14:textId="77777777" w:rsidR="00BA1E77" w:rsidRPr="000A50E9"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0A50E9">
              <w:t>0</w:t>
            </w:r>
            <w:r>
              <w:t>.</w:t>
            </w:r>
            <w:r w:rsidRPr="000A50E9">
              <w:t>04</w:t>
            </w:r>
          </w:p>
        </w:tc>
        <w:tc>
          <w:tcPr>
            <w:tcW w:w="356" w:type="pct"/>
            <w:noWrap/>
            <w:vAlign w:val="center"/>
            <w:hideMark/>
          </w:tcPr>
          <w:p w14:paraId="27711D24" w14:textId="77777777" w:rsidR="00BA1E77" w:rsidRPr="000A50E9"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0A50E9">
              <w:t>0</w:t>
            </w:r>
            <w:r>
              <w:t>.</w:t>
            </w:r>
            <w:r w:rsidRPr="000A50E9">
              <w:t>03</w:t>
            </w:r>
          </w:p>
        </w:tc>
        <w:tc>
          <w:tcPr>
            <w:tcW w:w="441" w:type="pct"/>
            <w:noWrap/>
            <w:vAlign w:val="center"/>
            <w:hideMark/>
          </w:tcPr>
          <w:p w14:paraId="3977B3E9" w14:textId="77777777" w:rsidR="00BA1E77" w:rsidRPr="000A50E9"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0A50E9">
              <w:rPr>
                <w:rFonts w:ascii="Calibri" w:hAnsi="Calibri" w:cs="Calibri"/>
              </w:rPr>
              <w:t> </w:t>
            </w:r>
          </w:p>
        </w:tc>
        <w:tc>
          <w:tcPr>
            <w:tcW w:w="663" w:type="pct"/>
            <w:noWrap/>
            <w:vAlign w:val="center"/>
            <w:hideMark/>
          </w:tcPr>
          <w:p w14:paraId="403DD693" w14:textId="77777777" w:rsidR="00BA1E77" w:rsidRPr="000A50E9"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0A50E9">
              <w:rPr>
                <w:rFonts w:ascii="Calibri" w:hAnsi="Calibri" w:cs="Calibri"/>
              </w:rPr>
              <w:t> </w:t>
            </w:r>
          </w:p>
        </w:tc>
        <w:tc>
          <w:tcPr>
            <w:tcW w:w="663" w:type="pct"/>
            <w:noWrap/>
            <w:vAlign w:val="center"/>
            <w:hideMark/>
          </w:tcPr>
          <w:p w14:paraId="1F5D9295" w14:textId="77777777" w:rsidR="00BA1E77" w:rsidRPr="000A50E9"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0A50E9">
              <w:rPr>
                <w:rFonts w:ascii="Calibri" w:hAnsi="Calibri" w:cs="Calibri"/>
              </w:rPr>
              <w:t> </w:t>
            </w:r>
          </w:p>
        </w:tc>
        <w:tc>
          <w:tcPr>
            <w:tcW w:w="589" w:type="pct"/>
            <w:noWrap/>
            <w:vAlign w:val="center"/>
            <w:hideMark/>
          </w:tcPr>
          <w:p w14:paraId="63CD150D" w14:textId="77777777" w:rsidR="00BA1E77" w:rsidRPr="000A50E9"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0A50E9">
              <w:rPr>
                <w:rFonts w:ascii="Calibri" w:hAnsi="Calibri" w:cs="Calibri"/>
              </w:rPr>
              <w:t> </w:t>
            </w:r>
          </w:p>
        </w:tc>
        <w:tc>
          <w:tcPr>
            <w:tcW w:w="365" w:type="pct"/>
            <w:noWrap/>
            <w:vAlign w:val="center"/>
            <w:hideMark/>
          </w:tcPr>
          <w:p w14:paraId="4DAD7308" w14:textId="77777777" w:rsidR="00BA1E77" w:rsidRPr="000A50E9"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0A50E9">
              <w:t>0</w:t>
            </w:r>
            <w:r>
              <w:t>.</w:t>
            </w:r>
            <w:r w:rsidRPr="000A50E9">
              <w:t>08</w:t>
            </w:r>
          </w:p>
        </w:tc>
      </w:tr>
      <w:tr w:rsidR="00BA1E77" w:rsidRPr="000A50E9" w14:paraId="3CB5836B" w14:textId="77777777" w:rsidTr="00C70998">
        <w:trPr>
          <w:trHeight w:val="297"/>
        </w:trPr>
        <w:tc>
          <w:tcPr>
            <w:cnfStyle w:val="001000000000" w:firstRow="0" w:lastRow="0" w:firstColumn="1" w:lastColumn="0" w:oddVBand="0" w:evenVBand="0" w:oddHBand="0" w:evenHBand="0" w:firstRowFirstColumn="0" w:firstRowLastColumn="0" w:lastRowFirstColumn="0" w:lastRowLastColumn="0"/>
            <w:tcW w:w="923" w:type="pct"/>
            <w:noWrap/>
            <w:vAlign w:val="center"/>
            <w:hideMark/>
          </w:tcPr>
          <w:p w14:paraId="5D6714F4" w14:textId="77777777" w:rsidR="00BA1E77" w:rsidRPr="000A50E9" w:rsidRDefault="00BA1E77" w:rsidP="00C70998">
            <w:pPr>
              <w:pStyle w:val="JRCTabletext9pt"/>
            </w:pPr>
            <w:r w:rsidRPr="000A50E9">
              <w:t>Implementation of</w:t>
            </w:r>
            <w:r>
              <w:rPr>
                <w:rFonts w:ascii="Calibri" w:hAnsi="Calibri" w:cs="Calibri"/>
              </w:rPr>
              <w:t> </w:t>
            </w:r>
            <w:r w:rsidRPr="000A50E9">
              <w:t>educational program</w:t>
            </w:r>
            <w:r>
              <w:t>me</w:t>
            </w:r>
            <w:r w:rsidRPr="000A50E9">
              <w:t>s in the areas of smart specialisation</w:t>
            </w:r>
          </w:p>
        </w:tc>
        <w:tc>
          <w:tcPr>
            <w:tcW w:w="693" w:type="pct"/>
            <w:noWrap/>
            <w:vAlign w:val="center"/>
            <w:hideMark/>
          </w:tcPr>
          <w:p w14:paraId="569BBE37" w14:textId="77777777" w:rsidR="00BA1E77" w:rsidRPr="000A50E9"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0A50E9">
              <w:t>0</w:t>
            </w:r>
            <w:r>
              <w:t>.</w:t>
            </w:r>
            <w:r w:rsidRPr="000A50E9">
              <w:t>02</w:t>
            </w:r>
          </w:p>
        </w:tc>
        <w:tc>
          <w:tcPr>
            <w:tcW w:w="307" w:type="pct"/>
            <w:noWrap/>
            <w:vAlign w:val="center"/>
            <w:hideMark/>
          </w:tcPr>
          <w:p w14:paraId="2FDD1B33" w14:textId="77777777" w:rsidR="00BA1E77" w:rsidRPr="000A50E9"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0A50E9">
              <w:t>0</w:t>
            </w:r>
            <w:r>
              <w:t>.</w:t>
            </w:r>
            <w:r w:rsidRPr="000A50E9">
              <w:t>05</w:t>
            </w:r>
          </w:p>
        </w:tc>
        <w:tc>
          <w:tcPr>
            <w:tcW w:w="356" w:type="pct"/>
            <w:noWrap/>
            <w:vAlign w:val="center"/>
            <w:hideMark/>
          </w:tcPr>
          <w:p w14:paraId="5069377D" w14:textId="77777777" w:rsidR="00BA1E77" w:rsidRPr="000A50E9"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0A50E9">
              <w:rPr>
                <w:rFonts w:ascii="Calibri" w:hAnsi="Calibri" w:cs="Calibri"/>
              </w:rPr>
              <w:t> </w:t>
            </w:r>
          </w:p>
        </w:tc>
        <w:tc>
          <w:tcPr>
            <w:tcW w:w="441" w:type="pct"/>
            <w:noWrap/>
            <w:vAlign w:val="center"/>
            <w:hideMark/>
          </w:tcPr>
          <w:p w14:paraId="6F828695" w14:textId="77777777" w:rsidR="00BA1E77" w:rsidRPr="000A50E9"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0A50E9">
              <w:rPr>
                <w:rFonts w:ascii="Calibri" w:hAnsi="Calibri" w:cs="Calibri"/>
              </w:rPr>
              <w:t> </w:t>
            </w:r>
          </w:p>
        </w:tc>
        <w:tc>
          <w:tcPr>
            <w:tcW w:w="663" w:type="pct"/>
            <w:noWrap/>
            <w:vAlign w:val="center"/>
            <w:hideMark/>
          </w:tcPr>
          <w:p w14:paraId="7D71E99A" w14:textId="77777777" w:rsidR="00BA1E77" w:rsidRPr="000A50E9"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0A50E9">
              <w:rPr>
                <w:rFonts w:ascii="Calibri" w:hAnsi="Calibri" w:cs="Calibri"/>
              </w:rPr>
              <w:t> </w:t>
            </w:r>
          </w:p>
        </w:tc>
        <w:tc>
          <w:tcPr>
            <w:tcW w:w="663" w:type="pct"/>
            <w:noWrap/>
            <w:vAlign w:val="center"/>
            <w:hideMark/>
          </w:tcPr>
          <w:p w14:paraId="161BB34E" w14:textId="77777777" w:rsidR="00BA1E77" w:rsidRPr="000A50E9"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0A50E9">
              <w:t>0</w:t>
            </w:r>
            <w:r>
              <w:t>.</w:t>
            </w:r>
            <w:r w:rsidRPr="000A50E9">
              <w:t>01</w:t>
            </w:r>
          </w:p>
        </w:tc>
        <w:tc>
          <w:tcPr>
            <w:tcW w:w="589" w:type="pct"/>
            <w:noWrap/>
            <w:vAlign w:val="center"/>
            <w:hideMark/>
          </w:tcPr>
          <w:p w14:paraId="3FBA82A4" w14:textId="77777777" w:rsidR="00BA1E77" w:rsidRPr="000A50E9"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0A50E9">
              <w:t>0</w:t>
            </w:r>
            <w:r>
              <w:t>.</w:t>
            </w:r>
            <w:r w:rsidRPr="000A50E9">
              <w:t>01</w:t>
            </w:r>
          </w:p>
        </w:tc>
        <w:tc>
          <w:tcPr>
            <w:tcW w:w="365" w:type="pct"/>
            <w:noWrap/>
            <w:vAlign w:val="center"/>
            <w:hideMark/>
          </w:tcPr>
          <w:p w14:paraId="7132961B" w14:textId="77777777" w:rsidR="00BA1E77" w:rsidRPr="000A50E9"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0A50E9">
              <w:t>0</w:t>
            </w:r>
            <w:r>
              <w:t>.</w:t>
            </w:r>
            <w:r w:rsidRPr="000A50E9">
              <w:t>09</w:t>
            </w:r>
          </w:p>
        </w:tc>
      </w:tr>
      <w:tr w:rsidR="00BA1E77" w:rsidRPr="000A50E9" w14:paraId="10590A21" w14:textId="77777777" w:rsidTr="00C70998">
        <w:trPr>
          <w:trHeight w:val="297"/>
        </w:trPr>
        <w:tc>
          <w:tcPr>
            <w:cnfStyle w:val="001000000000" w:firstRow="0" w:lastRow="0" w:firstColumn="1" w:lastColumn="0" w:oddVBand="0" w:evenVBand="0" w:oddHBand="0" w:evenHBand="0" w:firstRowFirstColumn="0" w:firstRowLastColumn="0" w:lastRowFirstColumn="0" w:lastRowLastColumn="0"/>
            <w:tcW w:w="923" w:type="pct"/>
            <w:noWrap/>
            <w:vAlign w:val="center"/>
            <w:hideMark/>
          </w:tcPr>
          <w:p w14:paraId="1A7F7238" w14:textId="77777777" w:rsidR="00BA1E77" w:rsidRPr="000A50E9" w:rsidRDefault="00BA1E77" w:rsidP="00C70998">
            <w:pPr>
              <w:pStyle w:val="JRCTabletext9pt"/>
            </w:pPr>
            <w:r w:rsidRPr="000A50E9">
              <w:t>Collaborative grants</w:t>
            </w:r>
          </w:p>
        </w:tc>
        <w:tc>
          <w:tcPr>
            <w:tcW w:w="693" w:type="pct"/>
            <w:noWrap/>
            <w:vAlign w:val="center"/>
            <w:hideMark/>
          </w:tcPr>
          <w:p w14:paraId="264D99B9" w14:textId="77777777" w:rsidR="00BA1E77" w:rsidRPr="000A50E9"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0A50E9">
              <w:t>1</w:t>
            </w:r>
            <w:r>
              <w:t>.</w:t>
            </w:r>
            <w:r w:rsidRPr="000A50E9">
              <w:t>10</w:t>
            </w:r>
          </w:p>
        </w:tc>
        <w:tc>
          <w:tcPr>
            <w:tcW w:w="307" w:type="pct"/>
            <w:noWrap/>
            <w:vAlign w:val="center"/>
            <w:hideMark/>
          </w:tcPr>
          <w:p w14:paraId="0A0F1DB6" w14:textId="77777777" w:rsidR="00BA1E77" w:rsidRPr="000A50E9"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0A50E9">
              <w:t>0</w:t>
            </w:r>
            <w:r>
              <w:t>.</w:t>
            </w:r>
            <w:r w:rsidRPr="000A50E9">
              <w:t>63</w:t>
            </w:r>
          </w:p>
        </w:tc>
        <w:tc>
          <w:tcPr>
            <w:tcW w:w="356" w:type="pct"/>
            <w:noWrap/>
            <w:vAlign w:val="center"/>
            <w:hideMark/>
          </w:tcPr>
          <w:p w14:paraId="00F377E2" w14:textId="77777777" w:rsidR="00BA1E77" w:rsidRPr="000A50E9"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0A50E9">
              <w:rPr>
                <w:rFonts w:ascii="Calibri" w:hAnsi="Calibri" w:cs="Calibri"/>
              </w:rPr>
              <w:t> </w:t>
            </w:r>
          </w:p>
        </w:tc>
        <w:tc>
          <w:tcPr>
            <w:tcW w:w="441" w:type="pct"/>
            <w:noWrap/>
            <w:vAlign w:val="center"/>
            <w:hideMark/>
          </w:tcPr>
          <w:p w14:paraId="174AC563" w14:textId="77777777" w:rsidR="00BA1E77" w:rsidRPr="000A50E9"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0A50E9">
              <w:rPr>
                <w:rFonts w:ascii="Calibri" w:hAnsi="Calibri" w:cs="Calibri"/>
              </w:rPr>
              <w:t> </w:t>
            </w:r>
          </w:p>
        </w:tc>
        <w:tc>
          <w:tcPr>
            <w:tcW w:w="663" w:type="pct"/>
            <w:noWrap/>
            <w:vAlign w:val="center"/>
            <w:hideMark/>
          </w:tcPr>
          <w:p w14:paraId="2A8327DB" w14:textId="77777777" w:rsidR="00BA1E77" w:rsidRPr="000A50E9"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0A50E9">
              <w:rPr>
                <w:rFonts w:ascii="Calibri" w:hAnsi="Calibri" w:cs="Calibri"/>
              </w:rPr>
              <w:t> </w:t>
            </w:r>
          </w:p>
        </w:tc>
        <w:tc>
          <w:tcPr>
            <w:tcW w:w="663" w:type="pct"/>
            <w:noWrap/>
            <w:vAlign w:val="center"/>
            <w:hideMark/>
          </w:tcPr>
          <w:p w14:paraId="049CC714" w14:textId="77777777" w:rsidR="00BA1E77" w:rsidRPr="000A50E9"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0A50E9">
              <w:rPr>
                <w:rFonts w:ascii="Calibri" w:hAnsi="Calibri" w:cs="Calibri"/>
              </w:rPr>
              <w:t> </w:t>
            </w:r>
          </w:p>
        </w:tc>
        <w:tc>
          <w:tcPr>
            <w:tcW w:w="589" w:type="pct"/>
            <w:noWrap/>
            <w:vAlign w:val="center"/>
            <w:hideMark/>
          </w:tcPr>
          <w:p w14:paraId="0D8E032D" w14:textId="77777777" w:rsidR="00BA1E77" w:rsidRPr="000A50E9"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0A50E9">
              <w:rPr>
                <w:rFonts w:ascii="Calibri" w:hAnsi="Calibri" w:cs="Calibri"/>
              </w:rPr>
              <w:t> </w:t>
            </w:r>
          </w:p>
        </w:tc>
        <w:tc>
          <w:tcPr>
            <w:tcW w:w="365" w:type="pct"/>
            <w:noWrap/>
            <w:vAlign w:val="center"/>
            <w:hideMark/>
          </w:tcPr>
          <w:p w14:paraId="1C1C9A52" w14:textId="77777777" w:rsidR="00BA1E77" w:rsidRPr="000A50E9"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0A50E9">
              <w:t>1</w:t>
            </w:r>
            <w:r>
              <w:t>.</w:t>
            </w:r>
            <w:r w:rsidRPr="000A50E9">
              <w:t>73</w:t>
            </w:r>
          </w:p>
        </w:tc>
      </w:tr>
      <w:tr w:rsidR="00BA1E77" w:rsidRPr="000A50E9" w14:paraId="35BD0DB4" w14:textId="77777777" w:rsidTr="00C70998">
        <w:trPr>
          <w:trHeight w:val="297"/>
        </w:trPr>
        <w:tc>
          <w:tcPr>
            <w:cnfStyle w:val="001000000000" w:firstRow="0" w:lastRow="0" w:firstColumn="1" w:lastColumn="0" w:oddVBand="0" w:evenVBand="0" w:oddHBand="0" w:evenHBand="0" w:firstRowFirstColumn="0" w:firstRowLastColumn="0" w:lastRowFirstColumn="0" w:lastRowLastColumn="0"/>
            <w:tcW w:w="923" w:type="pct"/>
            <w:noWrap/>
            <w:vAlign w:val="center"/>
            <w:hideMark/>
          </w:tcPr>
          <w:p w14:paraId="42E65703" w14:textId="77777777" w:rsidR="00BA1E77" w:rsidRPr="000A50E9" w:rsidRDefault="00BA1E77" w:rsidP="00C70998">
            <w:pPr>
              <w:pStyle w:val="JRCTabletext9pt"/>
            </w:pPr>
            <w:r w:rsidRPr="000A50E9">
              <w:t>Innovation voucher</w:t>
            </w:r>
          </w:p>
        </w:tc>
        <w:tc>
          <w:tcPr>
            <w:tcW w:w="693" w:type="pct"/>
            <w:noWrap/>
            <w:vAlign w:val="center"/>
            <w:hideMark/>
          </w:tcPr>
          <w:p w14:paraId="19A4E712" w14:textId="77777777" w:rsidR="00BA1E77" w:rsidRPr="000A50E9"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0A50E9">
              <w:t>0</w:t>
            </w:r>
            <w:r>
              <w:t>.</w:t>
            </w:r>
            <w:r w:rsidRPr="000A50E9">
              <w:t>02</w:t>
            </w:r>
          </w:p>
        </w:tc>
        <w:tc>
          <w:tcPr>
            <w:tcW w:w="307" w:type="pct"/>
            <w:noWrap/>
            <w:vAlign w:val="center"/>
            <w:hideMark/>
          </w:tcPr>
          <w:p w14:paraId="66415895" w14:textId="77777777" w:rsidR="00BA1E77" w:rsidRPr="000A50E9"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0A50E9">
              <w:t>0</w:t>
            </w:r>
            <w:r>
              <w:t>.</w:t>
            </w:r>
            <w:r w:rsidRPr="000A50E9">
              <w:t>0</w:t>
            </w:r>
            <w:r>
              <w:t>6</w:t>
            </w:r>
          </w:p>
        </w:tc>
        <w:tc>
          <w:tcPr>
            <w:tcW w:w="356" w:type="pct"/>
            <w:noWrap/>
            <w:vAlign w:val="center"/>
            <w:hideMark/>
          </w:tcPr>
          <w:p w14:paraId="73F02B0F" w14:textId="77777777" w:rsidR="00BA1E77" w:rsidRPr="000A50E9"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0A50E9">
              <w:rPr>
                <w:rFonts w:ascii="Calibri" w:hAnsi="Calibri" w:cs="Calibri"/>
              </w:rPr>
              <w:t> </w:t>
            </w:r>
          </w:p>
        </w:tc>
        <w:tc>
          <w:tcPr>
            <w:tcW w:w="441" w:type="pct"/>
            <w:noWrap/>
            <w:vAlign w:val="center"/>
            <w:hideMark/>
          </w:tcPr>
          <w:p w14:paraId="5FB0E3F8" w14:textId="77777777" w:rsidR="00BA1E77" w:rsidRPr="000A50E9"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0A50E9">
              <w:rPr>
                <w:rFonts w:ascii="Calibri" w:hAnsi="Calibri" w:cs="Calibri"/>
              </w:rPr>
              <w:t> </w:t>
            </w:r>
          </w:p>
        </w:tc>
        <w:tc>
          <w:tcPr>
            <w:tcW w:w="663" w:type="pct"/>
            <w:noWrap/>
            <w:vAlign w:val="center"/>
            <w:hideMark/>
          </w:tcPr>
          <w:p w14:paraId="2026954F" w14:textId="77777777" w:rsidR="00BA1E77" w:rsidRPr="000A50E9"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0A50E9">
              <w:t>0</w:t>
            </w:r>
            <w:r>
              <w:t>.</w:t>
            </w:r>
            <w:r w:rsidRPr="000A50E9">
              <w:t>02</w:t>
            </w:r>
          </w:p>
        </w:tc>
        <w:tc>
          <w:tcPr>
            <w:tcW w:w="663" w:type="pct"/>
            <w:noWrap/>
            <w:vAlign w:val="center"/>
            <w:hideMark/>
          </w:tcPr>
          <w:p w14:paraId="033AC6FA" w14:textId="77777777" w:rsidR="00BA1E77" w:rsidRPr="000A50E9"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0A50E9">
              <w:t>0</w:t>
            </w:r>
            <w:r>
              <w:t>.</w:t>
            </w:r>
            <w:r w:rsidRPr="000A50E9">
              <w:t>02</w:t>
            </w:r>
          </w:p>
        </w:tc>
        <w:tc>
          <w:tcPr>
            <w:tcW w:w="589" w:type="pct"/>
            <w:noWrap/>
            <w:vAlign w:val="center"/>
            <w:hideMark/>
          </w:tcPr>
          <w:p w14:paraId="00F01F0B" w14:textId="77777777" w:rsidR="00BA1E77" w:rsidRPr="000A50E9"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0A50E9">
              <w:rPr>
                <w:rFonts w:ascii="Calibri" w:hAnsi="Calibri" w:cs="Calibri"/>
              </w:rPr>
              <w:t> </w:t>
            </w:r>
          </w:p>
        </w:tc>
        <w:tc>
          <w:tcPr>
            <w:tcW w:w="365" w:type="pct"/>
            <w:noWrap/>
            <w:vAlign w:val="center"/>
            <w:hideMark/>
          </w:tcPr>
          <w:p w14:paraId="16E3A1A6" w14:textId="77777777" w:rsidR="00BA1E77" w:rsidRPr="000A50E9"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0A50E9">
              <w:t>0</w:t>
            </w:r>
            <w:r>
              <w:t>.</w:t>
            </w:r>
            <w:r w:rsidRPr="000A50E9">
              <w:t>12</w:t>
            </w:r>
          </w:p>
        </w:tc>
      </w:tr>
      <w:tr w:rsidR="00BA1E77" w:rsidRPr="000A50E9" w14:paraId="6183B311" w14:textId="77777777" w:rsidTr="00C70998">
        <w:trPr>
          <w:trHeight w:val="297"/>
        </w:trPr>
        <w:tc>
          <w:tcPr>
            <w:cnfStyle w:val="001000000000" w:firstRow="0" w:lastRow="0" w:firstColumn="1" w:lastColumn="0" w:oddVBand="0" w:evenVBand="0" w:oddHBand="0" w:evenHBand="0" w:firstRowFirstColumn="0" w:firstRowLastColumn="0" w:lastRowFirstColumn="0" w:lastRowLastColumn="0"/>
            <w:tcW w:w="923" w:type="pct"/>
            <w:noWrap/>
            <w:vAlign w:val="center"/>
            <w:hideMark/>
          </w:tcPr>
          <w:p w14:paraId="30C38625" w14:textId="77777777" w:rsidR="00BA1E77" w:rsidRPr="000A50E9" w:rsidRDefault="00BA1E77" w:rsidP="00C70998">
            <w:pPr>
              <w:pStyle w:val="JRCTabletext9pt"/>
            </w:pPr>
            <w:r w:rsidRPr="000A50E9">
              <w:t>Pre-acceleration of start-ups</w:t>
            </w:r>
          </w:p>
        </w:tc>
        <w:tc>
          <w:tcPr>
            <w:tcW w:w="693" w:type="pct"/>
            <w:noWrap/>
            <w:vAlign w:val="center"/>
            <w:hideMark/>
          </w:tcPr>
          <w:p w14:paraId="57FDF7A1" w14:textId="77777777" w:rsidR="00BA1E77" w:rsidRPr="000A50E9"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0A50E9">
              <w:rPr>
                <w:rFonts w:ascii="Calibri" w:hAnsi="Calibri" w:cs="Calibri"/>
              </w:rPr>
              <w:t> </w:t>
            </w:r>
          </w:p>
        </w:tc>
        <w:tc>
          <w:tcPr>
            <w:tcW w:w="307" w:type="pct"/>
            <w:noWrap/>
            <w:vAlign w:val="center"/>
            <w:hideMark/>
          </w:tcPr>
          <w:p w14:paraId="4511D28D" w14:textId="77777777" w:rsidR="00BA1E77" w:rsidRPr="000A50E9"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0A50E9">
              <w:rPr>
                <w:rFonts w:ascii="Calibri" w:hAnsi="Calibri" w:cs="Calibri"/>
              </w:rPr>
              <w:t> </w:t>
            </w:r>
          </w:p>
        </w:tc>
        <w:tc>
          <w:tcPr>
            <w:tcW w:w="356" w:type="pct"/>
            <w:noWrap/>
            <w:vAlign w:val="center"/>
            <w:hideMark/>
          </w:tcPr>
          <w:p w14:paraId="57C736C0" w14:textId="77777777" w:rsidR="00BA1E77" w:rsidRPr="000A50E9"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0A50E9">
              <w:t>0</w:t>
            </w:r>
            <w:r>
              <w:t>.</w:t>
            </w:r>
            <w:r w:rsidRPr="000A50E9">
              <w:t>13</w:t>
            </w:r>
          </w:p>
        </w:tc>
        <w:tc>
          <w:tcPr>
            <w:tcW w:w="441" w:type="pct"/>
            <w:noWrap/>
            <w:vAlign w:val="center"/>
            <w:hideMark/>
          </w:tcPr>
          <w:p w14:paraId="108C4130" w14:textId="77777777" w:rsidR="00BA1E77" w:rsidRPr="000A50E9"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0A50E9">
              <w:rPr>
                <w:rFonts w:ascii="Calibri" w:hAnsi="Calibri" w:cs="Calibri"/>
              </w:rPr>
              <w:t> </w:t>
            </w:r>
          </w:p>
        </w:tc>
        <w:tc>
          <w:tcPr>
            <w:tcW w:w="663" w:type="pct"/>
            <w:noWrap/>
            <w:vAlign w:val="center"/>
            <w:hideMark/>
          </w:tcPr>
          <w:p w14:paraId="6FAD9551" w14:textId="77777777" w:rsidR="00BA1E77" w:rsidRPr="000A50E9"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0A50E9">
              <w:rPr>
                <w:rFonts w:ascii="Calibri" w:hAnsi="Calibri" w:cs="Calibri"/>
              </w:rPr>
              <w:t> </w:t>
            </w:r>
          </w:p>
        </w:tc>
        <w:tc>
          <w:tcPr>
            <w:tcW w:w="663" w:type="pct"/>
            <w:noWrap/>
            <w:vAlign w:val="center"/>
            <w:hideMark/>
          </w:tcPr>
          <w:p w14:paraId="71463E2E" w14:textId="77777777" w:rsidR="00BA1E77" w:rsidRPr="000A50E9"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0A50E9">
              <w:rPr>
                <w:rFonts w:ascii="Calibri" w:hAnsi="Calibri" w:cs="Calibri"/>
              </w:rPr>
              <w:t> </w:t>
            </w:r>
          </w:p>
        </w:tc>
        <w:tc>
          <w:tcPr>
            <w:tcW w:w="589" w:type="pct"/>
            <w:noWrap/>
            <w:vAlign w:val="center"/>
            <w:hideMark/>
          </w:tcPr>
          <w:p w14:paraId="2ECC715C" w14:textId="77777777" w:rsidR="00BA1E77" w:rsidRPr="000A50E9"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0A50E9">
              <w:rPr>
                <w:rFonts w:ascii="Calibri" w:hAnsi="Calibri" w:cs="Calibri"/>
              </w:rPr>
              <w:t> </w:t>
            </w:r>
          </w:p>
        </w:tc>
        <w:tc>
          <w:tcPr>
            <w:tcW w:w="365" w:type="pct"/>
            <w:noWrap/>
            <w:vAlign w:val="center"/>
            <w:hideMark/>
          </w:tcPr>
          <w:p w14:paraId="742599A1" w14:textId="77777777" w:rsidR="00BA1E77" w:rsidRPr="000A50E9"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0A50E9">
              <w:t>0</w:t>
            </w:r>
            <w:r>
              <w:t>.</w:t>
            </w:r>
            <w:r w:rsidRPr="000A50E9">
              <w:t>13</w:t>
            </w:r>
          </w:p>
        </w:tc>
      </w:tr>
      <w:tr w:rsidR="00BA1E77" w:rsidRPr="000A50E9" w14:paraId="73D65F75" w14:textId="77777777" w:rsidTr="00C70998">
        <w:trPr>
          <w:trHeight w:val="297"/>
        </w:trPr>
        <w:tc>
          <w:tcPr>
            <w:cnfStyle w:val="001000000000" w:firstRow="0" w:lastRow="0" w:firstColumn="1" w:lastColumn="0" w:oddVBand="0" w:evenVBand="0" w:oddHBand="0" w:evenHBand="0" w:firstRowFirstColumn="0" w:firstRowLastColumn="0" w:lastRowFirstColumn="0" w:lastRowLastColumn="0"/>
            <w:tcW w:w="923" w:type="pct"/>
            <w:noWrap/>
            <w:vAlign w:val="center"/>
            <w:hideMark/>
          </w:tcPr>
          <w:p w14:paraId="14797D81" w14:textId="77777777" w:rsidR="00BA1E77" w:rsidRPr="000A50E9" w:rsidRDefault="00BA1E77" w:rsidP="00C70998">
            <w:pPr>
              <w:pStyle w:val="JRCTabletext9pt"/>
            </w:pPr>
            <w:r w:rsidRPr="000A50E9">
              <w:lastRenderedPageBreak/>
              <w:t>Program</w:t>
            </w:r>
            <w:r>
              <w:t>me</w:t>
            </w:r>
            <w:r w:rsidRPr="000A50E9">
              <w:t xml:space="preserve"> for encouraging innovations in the</w:t>
            </w:r>
            <w:r>
              <w:rPr>
                <w:rFonts w:ascii="Calibri" w:hAnsi="Calibri" w:cs="Calibri"/>
              </w:rPr>
              <w:t> </w:t>
            </w:r>
            <w:r w:rsidRPr="000A50E9">
              <w:t>function of energy efficiency in industry</w:t>
            </w:r>
          </w:p>
        </w:tc>
        <w:tc>
          <w:tcPr>
            <w:tcW w:w="693" w:type="pct"/>
            <w:noWrap/>
            <w:vAlign w:val="center"/>
            <w:hideMark/>
          </w:tcPr>
          <w:p w14:paraId="13D067AD" w14:textId="77777777" w:rsidR="00BA1E77" w:rsidRPr="000A50E9"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0A50E9">
              <w:t>0</w:t>
            </w:r>
            <w:r>
              <w:t>.</w:t>
            </w:r>
            <w:r w:rsidRPr="000A50E9">
              <w:t>47</w:t>
            </w:r>
          </w:p>
        </w:tc>
        <w:tc>
          <w:tcPr>
            <w:tcW w:w="307" w:type="pct"/>
            <w:noWrap/>
            <w:vAlign w:val="center"/>
            <w:hideMark/>
          </w:tcPr>
          <w:p w14:paraId="3D2618F6" w14:textId="77777777" w:rsidR="00BA1E77" w:rsidRPr="000A50E9"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0A50E9">
              <w:rPr>
                <w:rFonts w:ascii="Calibri" w:hAnsi="Calibri" w:cs="Calibri"/>
              </w:rPr>
              <w:t> </w:t>
            </w:r>
          </w:p>
        </w:tc>
        <w:tc>
          <w:tcPr>
            <w:tcW w:w="356" w:type="pct"/>
            <w:noWrap/>
            <w:vAlign w:val="center"/>
            <w:hideMark/>
          </w:tcPr>
          <w:p w14:paraId="79986949" w14:textId="77777777" w:rsidR="00BA1E77" w:rsidRPr="000A50E9"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0A50E9">
              <w:t>0</w:t>
            </w:r>
            <w:r>
              <w:t>.</w:t>
            </w:r>
            <w:r w:rsidRPr="000A50E9">
              <w:t>77</w:t>
            </w:r>
          </w:p>
        </w:tc>
        <w:tc>
          <w:tcPr>
            <w:tcW w:w="441" w:type="pct"/>
            <w:noWrap/>
            <w:vAlign w:val="center"/>
            <w:hideMark/>
          </w:tcPr>
          <w:p w14:paraId="670C0024" w14:textId="77777777" w:rsidR="00BA1E77" w:rsidRPr="000A50E9"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0A50E9">
              <w:rPr>
                <w:rFonts w:ascii="Calibri" w:hAnsi="Calibri" w:cs="Calibri"/>
              </w:rPr>
              <w:t> </w:t>
            </w:r>
          </w:p>
        </w:tc>
        <w:tc>
          <w:tcPr>
            <w:tcW w:w="663" w:type="pct"/>
            <w:noWrap/>
            <w:vAlign w:val="center"/>
            <w:hideMark/>
          </w:tcPr>
          <w:p w14:paraId="526E5133" w14:textId="77777777" w:rsidR="00BA1E77" w:rsidRPr="000A50E9"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0A50E9">
              <w:rPr>
                <w:rFonts w:ascii="Calibri" w:hAnsi="Calibri" w:cs="Calibri"/>
              </w:rPr>
              <w:t> </w:t>
            </w:r>
          </w:p>
        </w:tc>
        <w:tc>
          <w:tcPr>
            <w:tcW w:w="663" w:type="pct"/>
            <w:noWrap/>
            <w:vAlign w:val="center"/>
            <w:hideMark/>
          </w:tcPr>
          <w:p w14:paraId="6D2DEF7C" w14:textId="77777777" w:rsidR="00BA1E77" w:rsidRPr="000A50E9"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0A50E9">
              <w:t>0</w:t>
            </w:r>
            <w:r>
              <w:t>.</w:t>
            </w:r>
            <w:r w:rsidRPr="000A50E9">
              <w:t>40</w:t>
            </w:r>
          </w:p>
        </w:tc>
        <w:tc>
          <w:tcPr>
            <w:tcW w:w="589" w:type="pct"/>
            <w:noWrap/>
            <w:vAlign w:val="center"/>
            <w:hideMark/>
          </w:tcPr>
          <w:p w14:paraId="16495FB6" w14:textId="77777777" w:rsidR="00BA1E77" w:rsidRPr="000A50E9"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0A50E9">
              <w:rPr>
                <w:rFonts w:ascii="Calibri" w:hAnsi="Calibri" w:cs="Calibri"/>
              </w:rPr>
              <w:t> </w:t>
            </w:r>
          </w:p>
        </w:tc>
        <w:tc>
          <w:tcPr>
            <w:tcW w:w="365" w:type="pct"/>
            <w:noWrap/>
            <w:vAlign w:val="center"/>
            <w:hideMark/>
          </w:tcPr>
          <w:p w14:paraId="17E97FBE" w14:textId="77777777" w:rsidR="00BA1E77" w:rsidRPr="000A50E9"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0A50E9">
              <w:t>1</w:t>
            </w:r>
            <w:r>
              <w:t>.</w:t>
            </w:r>
            <w:r w:rsidRPr="000A50E9">
              <w:t>64</w:t>
            </w:r>
          </w:p>
        </w:tc>
      </w:tr>
      <w:tr w:rsidR="00BA1E77" w:rsidRPr="000A50E9" w14:paraId="50F8C9EF" w14:textId="77777777" w:rsidTr="00C70998">
        <w:trPr>
          <w:trHeight w:val="297"/>
        </w:trPr>
        <w:tc>
          <w:tcPr>
            <w:cnfStyle w:val="001000000000" w:firstRow="0" w:lastRow="0" w:firstColumn="1" w:lastColumn="0" w:oddVBand="0" w:evenVBand="0" w:oddHBand="0" w:evenHBand="0" w:firstRowFirstColumn="0" w:firstRowLastColumn="0" w:lastRowFirstColumn="0" w:lastRowLastColumn="0"/>
            <w:tcW w:w="923" w:type="pct"/>
            <w:noWrap/>
            <w:vAlign w:val="center"/>
          </w:tcPr>
          <w:p w14:paraId="0218F7A1" w14:textId="77777777" w:rsidR="00BA1E77" w:rsidRPr="000A50E9" w:rsidRDefault="00BA1E77" w:rsidP="00C70998">
            <w:pPr>
              <w:pStyle w:val="JRCTabletext9pt"/>
            </w:pPr>
            <w:r w:rsidRPr="000A50E9">
              <w:t>Program</w:t>
            </w:r>
            <w:r>
              <w:t>me</w:t>
            </w:r>
            <w:r w:rsidRPr="000A50E9">
              <w:t xml:space="preserve"> for strengthening the innovation of newly established or existing micro, small and medium-sized enterprises</w:t>
            </w:r>
          </w:p>
        </w:tc>
        <w:tc>
          <w:tcPr>
            <w:tcW w:w="693" w:type="pct"/>
            <w:noWrap/>
            <w:vAlign w:val="center"/>
          </w:tcPr>
          <w:p w14:paraId="12E0932A" w14:textId="77777777" w:rsidR="00BA1E77" w:rsidRPr="000A50E9"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0A50E9">
              <w:t>0</w:t>
            </w:r>
            <w:r>
              <w:t>.</w:t>
            </w:r>
            <w:r w:rsidRPr="000A50E9">
              <w:t>00</w:t>
            </w:r>
          </w:p>
        </w:tc>
        <w:tc>
          <w:tcPr>
            <w:tcW w:w="307" w:type="pct"/>
            <w:noWrap/>
            <w:vAlign w:val="center"/>
          </w:tcPr>
          <w:p w14:paraId="4C7A6429" w14:textId="77777777" w:rsidR="00BA1E77" w:rsidRPr="000A50E9" w:rsidRDefault="00BA1E77" w:rsidP="00C70998">
            <w:pPr>
              <w:pStyle w:val="JRCTabletext9pt"/>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0A50E9">
              <w:t>1</w:t>
            </w:r>
            <w:r>
              <w:t>.</w:t>
            </w:r>
            <w:r w:rsidRPr="000A50E9">
              <w:t>11</w:t>
            </w:r>
          </w:p>
        </w:tc>
        <w:tc>
          <w:tcPr>
            <w:tcW w:w="356" w:type="pct"/>
            <w:noWrap/>
            <w:vAlign w:val="center"/>
          </w:tcPr>
          <w:p w14:paraId="0E6168B1" w14:textId="77777777" w:rsidR="00BA1E77" w:rsidRPr="000A50E9"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0A50E9">
              <w:rPr>
                <w:rFonts w:ascii="Calibri" w:hAnsi="Calibri" w:cs="Calibri"/>
              </w:rPr>
              <w:t> </w:t>
            </w:r>
          </w:p>
        </w:tc>
        <w:tc>
          <w:tcPr>
            <w:tcW w:w="441" w:type="pct"/>
            <w:noWrap/>
            <w:vAlign w:val="center"/>
          </w:tcPr>
          <w:p w14:paraId="49FA0213" w14:textId="77777777" w:rsidR="00BA1E77" w:rsidRPr="000A50E9" w:rsidRDefault="00BA1E77" w:rsidP="00C70998">
            <w:pPr>
              <w:pStyle w:val="JRCTabletext9pt"/>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0A50E9">
              <w:rPr>
                <w:rFonts w:ascii="Calibri" w:hAnsi="Calibri" w:cs="Calibri"/>
              </w:rPr>
              <w:t> </w:t>
            </w:r>
          </w:p>
        </w:tc>
        <w:tc>
          <w:tcPr>
            <w:tcW w:w="663" w:type="pct"/>
            <w:noWrap/>
            <w:vAlign w:val="center"/>
          </w:tcPr>
          <w:p w14:paraId="172E8073" w14:textId="77777777" w:rsidR="00BA1E77" w:rsidRPr="000A50E9" w:rsidRDefault="00BA1E77" w:rsidP="00C70998">
            <w:pPr>
              <w:pStyle w:val="JRCTabletext9pt"/>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0A50E9">
              <w:rPr>
                <w:rFonts w:ascii="Calibri" w:hAnsi="Calibri" w:cs="Calibri"/>
              </w:rPr>
              <w:t> </w:t>
            </w:r>
          </w:p>
        </w:tc>
        <w:tc>
          <w:tcPr>
            <w:tcW w:w="663" w:type="pct"/>
            <w:noWrap/>
            <w:vAlign w:val="center"/>
          </w:tcPr>
          <w:p w14:paraId="6E0284AE" w14:textId="77777777" w:rsidR="00BA1E77" w:rsidRPr="000A50E9"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0A50E9">
              <w:t>0</w:t>
            </w:r>
            <w:r>
              <w:t>.</w:t>
            </w:r>
            <w:r w:rsidRPr="000A50E9">
              <w:t>1</w:t>
            </w:r>
            <w:r>
              <w:t>2</w:t>
            </w:r>
          </w:p>
        </w:tc>
        <w:tc>
          <w:tcPr>
            <w:tcW w:w="589" w:type="pct"/>
            <w:noWrap/>
            <w:vAlign w:val="center"/>
          </w:tcPr>
          <w:p w14:paraId="71A8FD4C" w14:textId="77777777" w:rsidR="00BA1E77" w:rsidRPr="000A50E9" w:rsidRDefault="00BA1E77" w:rsidP="00C70998">
            <w:pPr>
              <w:pStyle w:val="JRCTabletext9pt"/>
              <w:cnfStyle w:val="000000000000" w:firstRow="0" w:lastRow="0" w:firstColumn="0" w:lastColumn="0" w:oddVBand="0" w:evenVBand="0" w:oddHBand="0" w:evenHBand="0" w:firstRowFirstColumn="0" w:firstRowLastColumn="0" w:lastRowFirstColumn="0" w:lastRowLastColumn="0"/>
              <w:rPr>
                <w:rFonts w:ascii="Calibri" w:hAnsi="Calibri" w:cs="Calibri"/>
              </w:rPr>
            </w:pPr>
          </w:p>
        </w:tc>
        <w:tc>
          <w:tcPr>
            <w:tcW w:w="365" w:type="pct"/>
            <w:noWrap/>
            <w:vAlign w:val="center"/>
          </w:tcPr>
          <w:p w14:paraId="7B0A30A3" w14:textId="77777777" w:rsidR="00BA1E77" w:rsidRPr="000A50E9"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0A50E9">
              <w:t>1</w:t>
            </w:r>
            <w:r>
              <w:t>.</w:t>
            </w:r>
            <w:r w:rsidRPr="000A50E9">
              <w:t>23</w:t>
            </w:r>
          </w:p>
        </w:tc>
      </w:tr>
      <w:tr w:rsidR="00BA1E77" w:rsidRPr="000A50E9" w14:paraId="6EBA7095" w14:textId="77777777" w:rsidTr="00C70998">
        <w:trPr>
          <w:trHeight w:val="297"/>
        </w:trPr>
        <w:tc>
          <w:tcPr>
            <w:cnfStyle w:val="001000000000" w:firstRow="0" w:lastRow="0" w:firstColumn="1" w:lastColumn="0" w:oddVBand="0" w:evenVBand="0" w:oddHBand="0" w:evenHBand="0" w:firstRowFirstColumn="0" w:firstRowLastColumn="0" w:lastRowFirstColumn="0" w:lastRowLastColumn="0"/>
            <w:tcW w:w="923" w:type="pct"/>
            <w:noWrap/>
            <w:vAlign w:val="center"/>
          </w:tcPr>
          <w:p w14:paraId="7367C53D" w14:textId="77777777" w:rsidR="00BA1E77" w:rsidRPr="000A50E9" w:rsidRDefault="00BA1E77" w:rsidP="00C70998">
            <w:pPr>
              <w:pStyle w:val="JRCTabletext9pt"/>
            </w:pPr>
            <w:r w:rsidRPr="000A50E9">
              <w:t>Proof of innovative concept</w:t>
            </w:r>
          </w:p>
        </w:tc>
        <w:tc>
          <w:tcPr>
            <w:tcW w:w="693" w:type="pct"/>
            <w:noWrap/>
            <w:vAlign w:val="center"/>
          </w:tcPr>
          <w:p w14:paraId="6F06B92E" w14:textId="77777777" w:rsidR="00BA1E77" w:rsidRPr="000A50E9"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0A50E9">
              <w:t>0</w:t>
            </w:r>
            <w:r>
              <w:t>.</w:t>
            </w:r>
            <w:r w:rsidRPr="000A50E9">
              <w:t>04</w:t>
            </w:r>
          </w:p>
        </w:tc>
        <w:tc>
          <w:tcPr>
            <w:tcW w:w="307" w:type="pct"/>
            <w:noWrap/>
            <w:vAlign w:val="center"/>
          </w:tcPr>
          <w:p w14:paraId="6FFB1C02" w14:textId="77777777" w:rsidR="00BA1E77" w:rsidRPr="000A50E9"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0A50E9">
              <w:t>0</w:t>
            </w:r>
            <w:r>
              <w:t>.</w:t>
            </w:r>
            <w:r w:rsidRPr="000A50E9">
              <w:t>21</w:t>
            </w:r>
          </w:p>
        </w:tc>
        <w:tc>
          <w:tcPr>
            <w:tcW w:w="356" w:type="pct"/>
            <w:noWrap/>
            <w:vAlign w:val="center"/>
          </w:tcPr>
          <w:p w14:paraId="0F6E7423" w14:textId="77777777" w:rsidR="00BA1E77" w:rsidRPr="000A50E9" w:rsidRDefault="00BA1E77" w:rsidP="00C70998">
            <w:pPr>
              <w:pStyle w:val="JRCTabletext9pt"/>
              <w:cnfStyle w:val="000000000000" w:firstRow="0" w:lastRow="0" w:firstColumn="0" w:lastColumn="0" w:oddVBand="0" w:evenVBand="0" w:oddHBand="0" w:evenHBand="0" w:firstRowFirstColumn="0" w:firstRowLastColumn="0" w:lastRowFirstColumn="0" w:lastRowLastColumn="0"/>
              <w:rPr>
                <w:rFonts w:ascii="Calibri" w:hAnsi="Calibri" w:cs="Calibri"/>
              </w:rPr>
            </w:pPr>
          </w:p>
        </w:tc>
        <w:tc>
          <w:tcPr>
            <w:tcW w:w="441" w:type="pct"/>
            <w:noWrap/>
            <w:vAlign w:val="center"/>
          </w:tcPr>
          <w:p w14:paraId="1B6A1C7D" w14:textId="77777777" w:rsidR="00BA1E77" w:rsidRPr="000A50E9" w:rsidRDefault="00BA1E77" w:rsidP="00C70998">
            <w:pPr>
              <w:pStyle w:val="JRCTabletext9pt"/>
              <w:cnfStyle w:val="000000000000" w:firstRow="0" w:lastRow="0" w:firstColumn="0" w:lastColumn="0" w:oddVBand="0" w:evenVBand="0" w:oddHBand="0" w:evenHBand="0" w:firstRowFirstColumn="0" w:firstRowLastColumn="0" w:lastRowFirstColumn="0" w:lastRowLastColumn="0"/>
              <w:rPr>
                <w:rFonts w:ascii="Calibri" w:hAnsi="Calibri" w:cs="Calibri"/>
              </w:rPr>
            </w:pPr>
          </w:p>
        </w:tc>
        <w:tc>
          <w:tcPr>
            <w:tcW w:w="663" w:type="pct"/>
            <w:noWrap/>
            <w:vAlign w:val="center"/>
          </w:tcPr>
          <w:p w14:paraId="50D39C9C" w14:textId="77777777" w:rsidR="00BA1E77" w:rsidRPr="000A50E9" w:rsidRDefault="00BA1E77" w:rsidP="00C70998">
            <w:pPr>
              <w:pStyle w:val="JRCTabletext9pt"/>
              <w:cnfStyle w:val="000000000000" w:firstRow="0" w:lastRow="0" w:firstColumn="0" w:lastColumn="0" w:oddVBand="0" w:evenVBand="0" w:oddHBand="0" w:evenHBand="0" w:firstRowFirstColumn="0" w:firstRowLastColumn="0" w:lastRowFirstColumn="0" w:lastRowLastColumn="0"/>
              <w:rPr>
                <w:rFonts w:ascii="Calibri" w:hAnsi="Calibri" w:cs="Calibri"/>
              </w:rPr>
            </w:pPr>
          </w:p>
        </w:tc>
        <w:tc>
          <w:tcPr>
            <w:tcW w:w="663" w:type="pct"/>
            <w:noWrap/>
            <w:vAlign w:val="center"/>
          </w:tcPr>
          <w:p w14:paraId="612BE529" w14:textId="77777777" w:rsidR="00BA1E77" w:rsidRPr="000A50E9"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0A50E9">
              <w:t>0</w:t>
            </w:r>
            <w:r>
              <w:t>.</w:t>
            </w:r>
            <w:r w:rsidRPr="000A50E9">
              <w:t>06</w:t>
            </w:r>
          </w:p>
        </w:tc>
        <w:tc>
          <w:tcPr>
            <w:tcW w:w="589" w:type="pct"/>
            <w:noWrap/>
            <w:vAlign w:val="center"/>
          </w:tcPr>
          <w:p w14:paraId="6C034396" w14:textId="77777777" w:rsidR="00BA1E77" w:rsidRPr="000A50E9" w:rsidRDefault="00BA1E77" w:rsidP="00C70998">
            <w:pPr>
              <w:pStyle w:val="JRCTabletext9pt"/>
              <w:cnfStyle w:val="000000000000" w:firstRow="0" w:lastRow="0" w:firstColumn="0" w:lastColumn="0" w:oddVBand="0" w:evenVBand="0" w:oddHBand="0" w:evenHBand="0" w:firstRowFirstColumn="0" w:firstRowLastColumn="0" w:lastRowFirstColumn="0" w:lastRowLastColumn="0"/>
              <w:rPr>
                <w:rFonts w:ascii="Calibri" w:hAnsi="Calibri" w:cs="Calibri"/>
              </w:rPr>
            </w:pPr>
          </w:p>
        </w:tc>
        <w:tc>
          <w:tcPr>
            <w:tcW w:w="365" w:type="pct"/>
            <w:noWrap/>
            <w:vAlign w:val="center"/>
          </w:tcPr>
          <w:p w14:paraId="5444CEB2" w14:textId="77777777" w:rsidR="00BA1E77" w:rsidRPr="000A50E9"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0A50E9">
              <w:t>0</w:t>
            </w:r>
            <w:r>
              <w:t>.</w:t>
            </w:r>
            <w:r w:rsidRPr="000A50E9">
              <w:t>3</w:t>
            </w:r>
            <w:r>
              <w:t>1</w:t>
            </w:r>
          </w:p>
        </w:tc>
      </w:tr>
      <w:tr w:rsidR="00BA1E77" w:rsidRPr="000A50E9" w14:paraId="1A613F5D" w14:textId="77777777" w:rsidTr="00C70998">
        <w:trPr>
          <w:trHeight w:val="297"/>
        </w:trPr>
        <w:tc>
          <w:tcPr>
            <w:cnfStyle w:val="001000000000" w:firstRow="0" w:lastRow="0" w:firstColumn="1" w:lastColumn="0" w:oddVBand="0" w:evenVBand="0" w:oddHBand="0" w:evenHBand="0" w:firstRowFirstColumn="0" w:firstRowLastColumn="0" w:lastRowFirstColumn="0" w:lastRowLastColumn="0"/>
            <w:tcW w:w="923" w:type="pct"/>
            <w:noWrap/>
            <w:vAlign w:val="center"/>
          </w:tcPr>
          <w:p w14:paraId="017DEFE1" w14:textId="77777777" w:rsidR="00BA1E77" w:rsidRPr="000A50E9" w:rsidRDefault="00BA1E77" w:rsidP="00C70998">
            <w:pPr>
              <w:pStyle w:val="JRCTabletext9pt"/>
            </w:pPr>
            <w:r w:rsidRPr="000A50E9">
              <w:t>Support for the early phase development of start-ups</w:t>
            </w:r>
          </w:p>
        </w:tc>
        <w:tc>
          <w:tcPr>
            <w:tcW w:w="693" w:type="pct"/>
            <w:noWrap/>
            <w:vAlign w:val="center"/>
          </w:tcPr>
          <w:p w14:paraId="57684601" w14:textId="77777777" w:rsidR="00BA1E77" w:rsidRPr="000A50E9"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0A50E9">
              <w:t>0</w:t>
            </w:r>
            <w:r>
              <w:t>.</w:t>
            </w:r>
            <w:r w:rsidRPr="000A50E9">
              <w:t>06</w:t>
            </w:r>
          </w:p>
        </w:tc>
        <w:tc>
          <w:tcPr>
            <w:tcW w:w="307" w:type="pct"/>
            <w:noWrap/>
            <w:vAlign w:val="center"/>
          </w:tcPr>
          <w:p w14:paraId="56528834" w14:textId="77777777" w:rsidR="00BA1E77" w:rsidRPr="000A50E9"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0A50E9">
              <w:t>0</w:t>
            </w:r>
            <w:r>
              <w:t>.</w:t>
            </w:r>
            <w:r w:rsidRPr="000A50E9">
              <w:t>37</w:t>
            </w:r>
          </w:p>
        </w:tc>
        <w:tc>
          <w:tcPr>
            <w:tcW w:w="356" w:type="pct"/>
            <w:noWrap/>
            <w:vAlign w:val="center"/>
          </w:tcPr>
          <w:p w14:paraId="37401127" w14:textId="77777777" w:rsidR="00BA1E77" w:rsidRPr="000A50E9" w:rsidRDefault="00BA1E77" w:rsidP="00C70998">
            <w:pPr>
              <w:pStyle w:val="JRCTabletext9pt"/>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0A50E9">
              <w:t>0</w:t>
            </w:r>
            <w:r>
              <w:t>.</w:t>
            </w:r>
            <w:r w:rsidRPr="000A50E9">
              <w:t>09</w:t>
            </w:r>
          </w:p>
        </w:tc>
        <w:tc>
          <w:tcPr>
            <w:tcW w:w="441" w:type="pct"/>
            <w:noWrap/>
            <w:vAlign w:val="center"/>
          </w:tcPr>
          <w:p w14:paraId="2FDECBFA" w14:textId="77777777" w:rsidR="00BA1E77" w:rsidRPr="000A50E9" w:rsidRDefault="00BA1E77" w:rsidP="00C70998">
            <w:pPr>
              <w:pStyle w:val="JRCTabletext9pt"/>
              <w:cnfStyle w:val="000000000000" w:firstRow="0" w:lastRow="0" w:firstColumn="0" w:lastColumn="0" w:oddVBand="0" w:evenVBand="0" w:oddHBand="0" w:evenHBand="0" w:firstRowFirstColumn="0" w:firstRowLastColumn="0" w:lastRowFirstColumn="0" w:lastRowLastColumn="0"/>
              <w:rPr>
                <w:rFonts w:ascii="Calibri" w:hAnsi="Calibri" w:cs="Calibri"/>
              </w:rPr>
            </w:pPr>
          </w:p>
        </w:tc>
        <w:tc>
          <w:tcPr>
            <w:tcW w:w="663" w:type="pct"/>
            <w:noWrap/>
            <w:vAlign w:val="center"/>
          </w:tcPr>
          <w:p w14:paraId="11440240" w14:textId="77777777" w:rsidR="00BA1E77" w:rsidRPr="000A50E9" w:rsidRDefault="00BA1E77" w:rsidP="00C70998">
            <w:pPr>
              <w:pStyle w:val="JRCTabletext9pt"/>
              <w:cnfStyle w:val="000000000000" w:firstRow="0" w:lastRow="0" w:firstColumn="0" w:lastColumn="0" w:oddVBand="0" w:evenVBand="0" w:oddHBand="0" w:evenHBand="0" w:firstRowFirstColumn="0" w:firstRowLastColumn="0" w:lastRowFirstColumn="0" w:lastRowLastColumn="0"/>
              <w:rPr>
                <w:rFonts w:ascii="Calibri" w:hAnsi="Calibri" w:cs="Calibri"/>
              </w:rPr>
            </w:pPr>
          </w:p>
        </w:tc>
        <w:tc>
          <w:tcPr>
            <w:tcW w:w="663" w:type="pct"/>
            <w:noWrap/>
            <w:vAlign w:val="center"/>
          </w:tcPr>
          <w:p w14:paraId="79170F36" w14:textId="77777777" w:rsidR="00BA1E77" w:rsidRPr="000A50E9"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p>
        </w:tc>
        <w:tc>
          <w:tcPr>
            <w:tcW w:w="589" w:type="pct"/>
            <w:noWrap/>
            <w:vAlign w:val="center"/>
          </w:tcPr>
          <w:p w14:paraId="04AF9324" w14:textId="77777777" w:rsidR="00BA1E77" w:rsidRPr="000A50E9" w:rsidRDefault="00BA1E77" w:rsidP="00C70998">
            <w:pPr>
              <w:pStyle w:val="JRCTabletext9pt"/>
              <w:cnfStyle w:val="000000000000" w:firstRow="0" w:lastRow="0" w:firstColumn="0" w:lastColumn="0" w:oddVBand="0" w:evenVBand="0" w:oddHBand="0" w:evenHBand="0" w:firstRowFirstColumn="0" w:firstRowLastColumn="0" w:lastRowFirstColumn="0" w:lastRowLastColumn="0"/>
              <w:rPr>
                <w:rFonts w:ascii="Calibri" w:hAnsi="Calibri" w:cs="Calibri"/>
              </w:rPr>
            </w:pPr>
          </w:p>
        </w:tc>
        <w:tc>
          <w:tcPr>
            <w:tcW w:w="365" w:type="pct"/>
            <w:noWrap/>
            <w:vAlign w:val="center"/>
          </w:tcPr>
          <w:p w14:paraId="5EAC7DC1" w14:textId="77777777" w:rsidR="00BA1E77" w:rsidRPr="000A50E9"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0A50E9">
              <w:t>0</w:t>
            </w:r>
            <w:r>
              <w:t>.</w:t>
            </w:r>
            <w:r w:rsidRPr="000A50E9">
              <w:t>52</w:t>
            </w:r>
          </w:p>
        </w:tc>
      </w:tr>
      <w:tr w:rsidR="00BA1E77" w:rsidRPr="000A50E9" w14:paraId="423F5D9E" w14:textId="77777777" w:rsidTr="00C70998">
        <w:trPr>
          <w:trHeight w:val="297"/>
        </w:trPr>
        <w:tc>
          <w:tcPr>
            <w:cnfStyle w:val="001000000000" w:firstRow="0" w:lastRow="0" w:firstColumn="1" w:lastColumn="0" w:oddVBand="0" w:evenVBand="0" w:oddHBand="0" w:evenHBand="0" w:firstRowFirstColumn="0" w:firstRowLastColumn="0" w:lastRowFirstColumn="0" w:lastRowLastColumn="0"/>
            <w:tcW w:w="923" w:type="pct"/>
            <w:noWrap/>
            <w:vAlign w:val="center"/>
          </w:tcPr>
          <w:p w14:paraId="1FC89BFE" w14:textId="77777777" w:rsidR="00BA1E77" w:rsidRPr="000A50E9" w:rsidRDefault="00BA1E77" w:rsidP="00C70998">
            <w:pPr>
              <w:pStyle w:val="JRCTabletext9pt"/>
            </w:pPr>
            <w:r w:rsidRPr="000A50E9">
              <w:t>Vouchers for the protection of invention</w:t>
            </w:r>
          </w:p>
        </w:tc>
        <w:tc>
          <w:tcPr>
            <w:tcW w:w="693" w:type="pct"/>
            <w:noWrap/>
            <w:vAlign w:val="center"/>
          </w:tcPr>
          <w:p w14:paraId="6E152481" w14:textId="77777777" w:rsidR="00BA1E77" w:rsidRPr="000A50E9"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0A50E9">
              <w:t>0</w:t>
            </w:r>
            <w:r>
              <w:t>.</w:t>
            </w:r>
            <w:r w:rsidRPr="000A50E9">
              <w:t>01</w:t>
            </w:r>
          </w:p>
        </w:tc>
        <w:tc>
          <w:tcPr>
            <w:tcW w:w="307" w:type="pct"/>
            <w:noWrap/>
            <w:vAlign w:val="center"/>
          </w:tcPr>
          <w:p w14:paraId="3C2662C6" w14:textId="77777777" w:rsidR="00BA1E77" w:rsidRPr="000A50E9"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0A50E9">
              <w:t>0</w:t>
            </w:r>
            <w:r>
              <w:t>.</w:t>
            </w:r>
            <w:r w:rsidRPr="000A50E9">
              <w:t>00</w:t>
            </w:r>
          </w:p>
        </w:tc>
        <w:tc>
          <w:tcPr>
            <w:tcW w:w="356" w:type="pct"/>
            <w:noWrap/>
            <w:vAlign w:val="center"/>
          </w:tcPr>
          <w:p w14:paraId="27A80DCA" w14:textId="77777777" w:rsidR="00BA1E77" w:rsidRPr="000A50E9" w:rsidRDefault="00BA1E77" w:rsidP="00C70998">
            <w:pPr>
              <w:pStyle w:val="JRCTabletext9pt"/>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0A50E9">
              <w:t>0</w:t>
            </w:r>
            <w:r>
              <w:t>.</w:t>
            </w:r>
            <w:r w:rsidRPr="000A50E9">
              <w:t>03</w:t>
            </w:r>
          </w:p>
        </w:tc>
        <w:tc>
          <w:tcPr>
            <w:tcW w:w="441" w:type="pct"/>
            <w:noWrap/>
            <w:vAlign w:val="center"/>
          </w:tcPr>
          <w:p w14:paraId="7525B946" w14:textId="77777777" w:rsidR="00BA1E77" w:rsidRPr="000A50E9" w:rsidRDefault="00BA1E77" w:rsidP="00C70998">
            <w:pPr>
              <w:pStyle w:val="JRCTabletext9pt"/>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0A50E9">
              <w:t>0</w:t>
            </w:r>
            <w:r>
              <w:t>.</w:t>
            </w:r>
            <w:r w:rsidRPr="000A50E9">
              <w:t>02</w:t>
            </w:r>
          </w:p>
        </w:tc>
        <w:tc>
          <w:tcPr>
            <w:tcW w:w="663" w:type="pct"/>
            <w:noWrap/>
            <w:vAlign w:val="center"/>
          </w:tcPr>
          <w:p w14:paraId="4341A9CA" w14:textId="77777777" w:rsidR="00BA1E77" w:rsidRPr="000A50E9" w:rsidRDefault="00BA1E77" w:rsidP="00C70998">
            <w:pPr>
              <w:pStyle w:val="JRCTabletext9pt"/>
              <w:cnfStyle w:val="000000000000" w:firstRow="0" w:lastRow="0" w:firstColumn="0" w:lastColumn="0" w:oddVBand="0" w:evenVBand="0" w:oddHBand="0" w:evenHBand="0" w:firstRowFirstColumn="0" w:firstRowLastColumn="0" w:lastRowFirstColumn="0" w:lastRowLastColumn="0"/>
              <w:rPr>
                <w:rFonts w:ascii="Calibri" w:hAnsi="Calibri" w:cs="Calibri"/>
              </w:rPr>
            </w:pPr>
          </w:p>
        </w:tc>
        <w:tc>
          <w:tcPr>
            <w:tcW w:w="663" w:type="pct"/>
            <w:noWrap/>
            <w:vAlign w:val="center"/>
          </w:tcPr>
          <w:p w14:paraId="491B91DC" w14:textId="77777777" w:rsidR="00BA1E77" w:rsidRPr="000A50E9"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0A50E9">
              <w:t>0</w:t>
            </w:r>
            <w:r>
              <w:t>.</w:t>
            </w:r>
            <w:r w:rsidRPr="000A50E9">
              <w:t>01</w:t>
            </w:r>
          </w:p>
        </w:tc>
        <w:tc>
          <w:tcPr>
            <w:tcW w:w="589" w:type="pct"/>
            <w:noWrap/>
            <w:vAlign w:val="center"/>
          </w:tcPr>
          <w:p w14:paraId="41B778D7" w14:textId="77777777" w:rsidR="00BA1E77" w:rsidRPr="000A50E9" w:rsidRDefault="00BA1E77" w:rsidP="00C70998">
            <w:pPr>
              <w:pStyle w:val="JRCTabletext9pt"/>
              <w:cnfStyle w:val="000000000000" w:firstRow="0" w:lastRow="0" w:firstColumn="0" w:lastColumn="0" w:oddVBand="0" w:evenVBand="0" w:oddHBand="0" w:evenHBand="0" w:firstRowFirstColumn="0" w:firstRowLastColumn="0" w:lastRowFirstColumn="0" w:lastRowLastColumn="0"/>
              <w:rPr>
                <w:rFonts w:ascii="Calibri" w:hAnsi="Calibri" w:cs="Calibri"/>
              </w:rPr>
            </w:pPr>
          </w:p>
        </w:tc>
        <w:tc>
          <w:tcPr>
            <w:tcW w:w="365" w:type="pct"/>
            <w:noWrap/>
            <w:vAlign w:val="center"/>
          </w:tcPr>
          <w:p w14:paraId="36A3BABB" w14:textId="77777777" w:rsidR="00BA1E77" w:rsidRPr="000A50E9"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0A50E9">
              <w:t>0</w:t>
            </w:r>
            <w:r>
              <w:t>.</w:t>
            </w:r>
            <w:r w:rsidRPr="000A50E9">
              <w:t>0</w:t>
            </w:r>
            <w:r>
              <w:t>7</w:t>
            </w:r>
          </w:p>
        </w:tc>
      </w:tr>
      <w:tr w:rsidR="00BA1E77" w:rsidRPr="000A50E9" w14:paraId="2EE437EA" w14:textId="77777777" w:rsidTr="00C70998">
        <w:trPr>
          <w:trHeight w:val="297"/>
        </w:trPr>
        <w:tc>
          <w:tcPr>
            <w:cnfStyle w:val="001000000000" w:firstRow="0" w:lastRow="0" w:firstColumn="1" w:lastColumn="0" w:oddVBand="0" w:evenVBand="0" w:oddHBand="0" w:evenHBand="0" w:firstRowFirstColumn="0" w:firstRowLastColumn="0" w:lastRowFirstColumn="0" w:lastRowLastColumn="0"/>
            <w:tcW w:w="923" w:type="pct"/>
            <w:noWrap/>
            <w:vAlign w:val="center"/>
          </w:tcPr>
          <w:p w14:paraId="13F74D65" w14:textId="77777777" w:rsidR="00BA1E77" w:rsidRPr="000A50E9" w:rsidRDefault="00BA1E77" w:rsidP="00C70998">
            <w:pPr>
              <w:pStyle w:val="JRCTabletext9pt"/>
            </w:pPr>
            <w:r w:rsidRPr="000A50E9">
              <w:t>Total</w:t>
            </w:r>
          </w:p>
        </w:tc>
        <w:tc>
          <w:tcPr>
            <w:tcW w:w="693" w:type="pct"/>
            <w:noWrap/>
            <w:vAlign w:val="center"/>
          </w:tcPr>
          <w:p w14:paraId="1160CAC0" w14:textId="77777777" w:rsidR="00BA1E77" w:rsidRPr="000A50E9"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0A50E9">
              <w:t>1</w:t>
            </w:r>
            <w:r>
              <w:t>.</w:t>
            </w:r>
            <w:r w:rsidRPr="000A50E9">
              <w:t>7</w:t>
            </w:r>
            <w:r>
              <w:t>3</w:t>
            </w:r>
          </w:p>
        </w:tc>
        <w:tc>
          <w:tcPr>
            <w:tcW w:w="307" w:type="pct"/>
            <w:noWrap/>
            <w:vAlign w:val="center"/>
          </w:tcPr>
          <w:p w14:paraId="494EDDEC" w14:textId="77777777" w:rsidR="00BA1E77" w:rsidRPr="000A50E9"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0A50E9">
              <w:t>2</w:t>
            </w:r>
            <w:r>
              <w:t>.</w:t>
            </w:r>
            <w:r w:rsidRPr="000A50E9">
              <w:t>47</w:t>
            </w:r>
          </w:p>
        </w:tc>
        <w:tc>
          <w:tcPr>
            <w:tcW w:w="356" w:type="pct"/>
            <w:noWrap/>
            <w:vAlign w:val="center"/>
          </w:tcPr>
          <w:p w14:paraId="71A48D15" w14:textId="77777777" w:rsidR="00BA1E77" w:rsidRPr="000A50E9" w:rsidRDefault="00BA1E77" w:rsidP="00C70998">
            <w:pPr>
              <w:pStyle w:val="JRCTabletext9pt"/>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0A50E9">
              <w:t>1</w:t>
            </w:r>
            <w:r>
              <w:t>.</w:t>
            </w:r>
            <w:r w:rsidRPr="000A50E9">
              <w:t>05</w:t>
            </w:r>
          </w:p>
        </w:tc>
        <w:tc>
          <w:tcPr>
            <w:tcW w:w="441" w:type="pct"/>
            <w:noWrap/>
            <w:vAlign w:val="center"/>
          </w:tcPr>
          <w:p w14:paraId="50C5637A" w14:textId="77777777" w:rsidR="00BA1E77" w:rsidRPr="000A50E9" w:rsidRDefault="00BA1E77" w:rsidP="00C70998">
            <w:pPr>
              <w:pStyle w:val="JRCTabletext9pt"/>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0A50E9">
              <w:t>0</w:t>
            </w:r>
            <w:r>
              <w:t>.</w:t>
            </w:r>
            <w:r w:rsidRPr="000A50E9">
              <w:t>02</w:t>
            </w:r>
          </w:p>
        </w:tc>
        <w:tc>
          <w:tcPr>
            <w:tcW w:w="663" w:type="pct"/>
            <w:noWrap/>
            <w:vAlign w:val="center"/>
          </w:tcPr>
          <w:p w14:paraId="3F861B1C" w14:textId="77777777" w:rsidR="00BA1E77" w:rsidRPr="000A50E9" w:rsidRDefault="00BA1E77" w:rsidP="00C70998">
            <w:pPr>
              <w:pStyle w:val="JRCTabletext9pt"/>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0A50E9">
              <w:t>0</w:t>
            </w:r>
            <w:r>
              <w:t>.</w:t>
            </w:r>
            <w:r w:rsidRPr="000A50E9">
              <w:t>02</w:t>
            </w:r>
          </w:p>
        </w:tc>
        <w:tc>
          <w:tcPr>
            <w:tcW w:w="663" w:type="pct"/>
            <w:noWrap/>
            <w:vAlign w:val="center"/>
          </w:tcPr>
          <w:p w14:paraId="16CAC835" w14:textId="77777777" w:rsidR="00BA1E77" w:rsidRPr="000A50E9"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0A50E9">
              <w:t>0</w:t>
            </w:r>
            <w:r>
              <w:t>.</w:t>
            </w:r>
            <w:r w:rsidRPr="000A50E9">
              <w:t>6</w:t>
            </w:r>
            <w:r>
              <w:t>2</w:t>
            </w:r>
          </w:p>
        </w:tc>
        <w:tc>
          <w:tcPr>
            <w:tcW w:w="589" w:type="pct"/>
            <w:noWrap/>
            <w:vAlign w:val="center"/>
          </w:tcPr>
          <w:p w14:paraId="7C6F5438" w14:textId="77777777" w:rsidR="00BA1E77" w:rsidRPr="000A50E9" w:rsidRDefault="00BA1E77" w:rsidP="00C70998">
            <w:pPr>
              <w:pStyle w:val="JRCTabletext9pt"/>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0A50E9">
              <w:t>0</w:t>
            </w:r>
            <w:r>
              <w:t>.</w:t>
            </w:r>
            <w:r w:rsidRPr="000A50E9">
              <w:t>01</w:t>
            </w:r>
          </w:p>
        </w:tc>
        <w:tc>
          <w:tcPr>
            <w:tcW w:w="365" w:type="pct"/>
            <w:noWrap/>
            <w:vAlign w:val="center"/>
          </w:tcPr>
          <w:p w14:paraId="55FEE6AC" w14:textId="77777777" w:rsidR="00BA1E77" w:rsidRPr="000A50E9"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0A50E9">
              <w:t>5</w:t>
            </w:r>
            <w:r>
              <w:t>.</w:t>
            </w:r>
            <w:r w:rsidRPr="000A50E9">
              <w:t>91</w:t>
            </w:r>
          </w:p>
        </w:tc>
      </w:tr>
    </w:tbl>
    <w:p w14:paraId="0441E746" w14:textId="77777777" w:rsidR="00BA1E77" w:rsidRPr="00ED3141" w:rsidRDefault="00BA1E77" w:rsidP="00BA1E77">
      <w:pPr>
        <w:pStyle w:val="JRCTablesource"/>
      </w:pPr>
      <w:r w:rsidRPr="00ED3141">
        <w:rPr>
          <w:b/>
          <w:bCs/>
        </w:rPr>
        <w:t>Source:</w:t>
      </w:r>
      <w:r w:rsidRPr="00ED3141">
        <w:t xml:space="preserve"> Innovation Fund of Montenegro</w:t>
      </w:r>
    </w:p>
    <w:p w14:paraId="6F52250B" w14:textId="77777777" w:rsidR="00BA1E77" w:rsidRPr="00DB00D1" w:rsidRDefault="00BA1E77" w:rsidP="00BA1E77">
      <w:pPr>
        <w:pStyle w:val="JRCTabletitle"/>
      </w:pPr>
      <w:bookmarkStart w:id="104" w:name="_Toc220938969"/>
      <w:bookmarkStart w:id="105" w:name="_Toc221271679"/>
      <w:r w:rsidRPr="00C62602">
        <w:rPr>
          <w:b/>
          <w:bCs/>
        </w:rPr>
        <w:t xml:space="preserve">Table </w:t>
      </w:r>
      <w:r w:rsidRPr="00C62602">
        <w:rPr>
          <w:b/>
          <w:bCs/>
        </w:rPr>
        <w:fldChar w:fldCharType="begin"/>
      </w:r>
      <w:r w:rsidRPr="00C62602">
        <w:rPr>
          <w:b/>
          <w:bCs/>
        </w:rPr>
        <w:instrText xml:space="preserve"> SEQ Table \* ARABIC </w:instrText>
      </w:r>
      <w:r w:rsidRPr="00C62602">
        <w:rPr>
          <w:b/>
          <w:bCs/>
        </w:rPr>
        <w:fldChar w:fldCharType="separate"/>
      </w:r>
      <w:r>
        <w:rPr>
          <w:b/>
          <w:bCs/>
          <w:noProof/>
        </w:rPr>
        <w:t>17</w:t>
      </w:r>
      <w:r w:rsidRPr="00C62602">
        <w:rPr>
          <w:b/>
          <w:bCs/>
        </w:rPr>
        <w:fldChar w:fldCharType="end"/>
      </w:r>
      <w:r>
        <w:rPr>
          <w:b/>
          <w:bCs/>
        </w:rPr>
        <w:t xml:space="preserve">. </w:t>
      </w:r>
      <w:r w:rsidRPr="00E60117">
        <w:t>Total amount of the approved projects by location</w:t>
      </w:r>
      <w:r w:rsidRPr="00DB00D1">
        <w:t xml:space="preserve"> for each S3 priority (</w:t>
      </w:r>
      <w:r>
        <w:rPr>
          <w:color w:val="000000"/>
        </w:rPr>
        <w:t>EUR</w:t>
      </w:r>
      <w:r w:rsidRPr="00DB00D1">
        <w:rPr>
          <w:sz w:val="18"/>
        </w:rPr>
        <w:t xml:space="preserve"> </w:t>
      </w:r>
      <w:r w:rsidRPr="00DB00D1">
        <w:t>million)</w:t>
      </w:r>
      <w:bookmarkEnd w:id="104"/>
      <w:bookmarkEnd w:id="105"/>
    </w:p>
    <w:tbl>
      <w:tblPr>
        <w:tblStyle w:val="JRCTableBasic"/>
        <w:tblW w:w="5000" w:type="pct"/>
        <w:tblLayout w:type="fixed"/>
        <w:tblLook w:val="04A0" w:firstRow="1" w:lastRow="0" w:firstColumn="1" w:lastColumn="0" w:noHBand="0" w:noVBand="1"/>
      </w:tblPr>
      <w:tblGrid>
        <w:gridCol w:w="1180"/>
        <w:gridCol w:w="1187"/>
        <w:gridCol w:w="548"/>
        <w:gridCol w:w="665"/>
        <w:gridCol w:w="826"/>
        <w:gridCol w:w="1168"/>
        <w:gridCol w:w="1390"/>
        <w:gridCol w:w="1390"/>
        <w:gridCol w:w="662"/>
      </w:tblGrid>
      <w:tr w:rsidR="00BA1E77" w:rsidRPr="00C62602" w14:paraId="1B2B3FDF" w14:textId="77777777" w:rsidTr="00C70998">
        <w:trPr>
          <w:cnfStyle w:val="100000000000" w:firstRow="1" w:lastRow="0" w:firstColumn="0" w:lastColumn="0" w:oddVBand="0" w:evenVBand="0" w:oddHBand="0" w:evenHBand="0" w:firstRowFirstColumn="0" w:firstRowLastColumn="0" w:lastRowFirstColumn="0" w:lastRowLastColumn="0"/>
          <w:trHeight w:val="186"/>
        </w:trPr>
        <w:tc>
          <w:tcPr>
            <w:cnfStyle w:val="001000000000" w:firstRow="0" w:lastRow="0" w:firstColumn="1" w:lastColumn="0" w:oddVBand="0" w:evenVBand="0" w:oddHBand="0" w:evenHBand="0" w:firstRowFirstColumn="0" w:firstRowLastColumn="0" w:lastRowFirstColumn="0" w:lastRowLastColumn="0"/>
            <w:tcW w:w="654" w:type="pct"/>
            <w:noWrap/>
            <w:vAlign w:val="center"/>
            <w:hideMark/>
          </w:tcPr>
          <w:p w14:paraId="3D64152D" w14:textId="77777777" w:rsidR="00BA1E77" w:rsidRPr="00C62602" w:rsidRDefault="00BA1E77" w:rsidP="00C70998">
            <w:pPr>
              <w:pStyle w:val="JRCTabletext9pt"/>
            </w:pPr>
          </w:p>
        </w:tc>
        <w:tc>
          <w:tcPr>
            <w:tcW w:w="4346" w:type="pct"/>
            <w:gridSpan w:val="8"/>
            <w:noWrap/>
            <w:vAlign w:val="center"/>
            <w:hideMark/>
          </w:tcPr>
          <w:p w14:paraId="438D34B1" w14:textId="77777777" w:rsidR="00BA1E77" w:rsidRPr="00640ACC" w:rsidRDefault="00BA1E77" w:rsidP="00C70998">
            <w:pPr>
              <w:pStyle w:val="JRCTableBoxtitle"/>
              <w:jc w:val="left"/>
              <w:cnfStyle w:val="100000000000" w:firstRow="1" w:lastRow="0" w:firstColumn="0" w:lastColumn="0" w:oddVBand="0" w:evenVBand="0" w:oddHBand="0" w:evenHBand="0" w:firstRowFirstColumn="0" w:firstRowLastColumn="0" w:lastRowFirstColumn="0" w:lastRowLastColumn="0"/>
              <w:rPr>
                <w:b/>
                <w:bCs/>
                <w:sz w:val="18"/>
                <w:szCs w:val="21"/>
              </w:rPr>
            </w:pPr>
            <w:r w:rsidRPr="00640ACC">
              <w:rPr>
                <w:b/>
                <w:bCs/>
                <w:sz w:val="18"/>
                <w:szCs w:val="21"/>
              </w:rPr>
              <w:t>S3 priority areas</w:t>
            </w:r>
          </w:p>
        </w:tc>
      </w:tr>
      <w:tr w:rsidR="00BA1E77" w:rsidRPr="00C62602" w14:paraId="0A019841" w14:textId="77777777" w:rsidTr="00C70998">
        <w:trPr>
          <w:trHeight w:val="365"/>
        </w:trPr>
        <w:tc>
          <w:tcPr>
            <w:cnfStyle w:val="001000000000" w:firstRow="0" w:lastRow="0" w:firstColumn="1" w:lastColumn="0" w:oddVBand="0" w:evenVBand="0" w:oddHBand="0" w:evenHBand="0" w:firstRowFirstColumn="0" w:firstRowLastColumn="0" w:lastRowFirstColumn="0" w:lastRowLastColumn="0"/>
            <w:tcW w:w="654" w:type="pct"/>
            <w:noWrap/>
            <w:vAlign w:val="center"/>
            <w:hideMark/>
          </w:tcPr>
          <w:p w14:paraId="653E121F" w14:textId="77777777" w:rsidR="00BA1E77" w:rsidRPr="00640ACC" w:rsidRDefault="00BA1E77" w:rsidP="00C70998">
            <w:pPr>
              <w:pStyle w:val="JRCTableBoxtitle"/>
              <w:jc w:val="left"/>
              <w:rPr>
                <w:b/>
                <w:bCs/>
                <w:sz w:val="18"/>
                <w:szCs w:val="21"/>
              </w:rPr>
            </w:pPr>
            <w:r w:rsidRPr="00640ACC">
              <w:rPr>
                <w:b/>
                <w:bCs/>
                <w:sz w:val="18"/>
                <w:szCs w:val="21"/>
              </w:rPr>
              <w:t>Location</w:t>
            </w:r>
          </w:p>
        </w:tc>
        <w:tc>
          <w:tcPr>
            <w:tcW w:w="658" w:type="pct"/>
            <w:noWrap/>
            <w:vAlign w:val="center"/>
            <w:hideMark/>
          </w:tcPr>
          <w:p w14:paraId="194A0D60" w14:textId="77777777" w:rsidR="00BA1E77" w:rsidRPr="00640ACC" w:rsidRDefault="00BA1E77" w:rsidP="00C70998">
            <w:pPr>
              <w:pStyle w:val="JRCTabletext9pt"/>
              <w:cnfStyle w:val="000000000000" w:firstRow="0" w:lastRow="0" w:firstColumn="0" w:lastColumn="0" w:oddVBand="0" w:evenVBand="0" w:oddHBand="0" w:evenHBand="0" w:firstRowFirstColumn="0" w:firstRowLastColumn="0" w:lastRowFirstColumn="0" w:lastRowLastColumn="0"/>
              <w:rPr>
                <w:b/>
              </w:rPr>
            </w:pPr>
            <w:r w:rsidRPr="00640ACC">
              <w:rPr>
                <w:b/>
              </w:rPr>
              <w:t>Energy and Sustainable Environment</w:t>
            </w:r>
          </w:p>
        </w:tc>
        <w:tc>
          <w:tcPr>
            <w:tcW w:w="304" w:type="pct"/>
            <w:noWrap/>
            <w:vAlign w:val="center"/>
            <w:hideMark/>
          </w:tcPr>
          <w:p w14:paraId="48EFD4BF" w14:textId="77777777" w:rsidR="00BA1E77" w:rsidRPr="00640ACC" w:rsidRDefault="00BA1E77" w:rsidP="00C70998">
            <w:pPr>
              <w:pStyle w:val="JRCTabletext9pt"/>
              <w:cnfStyle w:val="000000000000" w:firstRow="0" w:lastRow="0" w:firstColumn="0" w:lastColumn="0" w:oddVBand="0" w:evenVBand="0" w:oddHBand="0" w:evenHBand="0" w:firstRowFirstColumn="0" w:firstRowLastColumn="0" w:lastRowFirstColumn="0" w:lastRowLastColumn="0"/>
              <w:rPr>
                <w:b/>
              </w:rPr>
            </w:pPr>
            <w:r w:rsidRPr="00640ACC">
              <w:rPr>
                <w:b/>
              </w:rPr>
              <w:t>ICT</w:t>
            </w:r>
          </w:p>
        </w:tc>
        <w:tc>
          <w:tcPr>
            <w:tcW w:w="369" w:type="pct"/>
            <w:noWrap/>
            <w:vAlign w:val="center"/>
            <w:hideMark/>
          </w:tcPr>
          <w:p w14:paraId="33C1780F" w14:textId="77777777" w:rsidR="00BA1E77" w:rsidRPr="00640ACC" w:rsidRDefault="00BA1E77" w:rsidP="00C70998">
            <w:pPr>
              <w:pStyle w:val="JRCTabletext9pt"/>
              <w:cnfStyle w:val="000000000000" w:firstRow="0" w:lastRow="0" w:firstColumn="0" w:lastColumn="0" w:oddVBand="0" w:evenVBand="0" w:oddHBand="0" w:evenHBand="0" w:firstRowFirstColumn="0" w:firstRowLastColumn="0" w:lastRowFirstColumn="0" w:lastRowLastColumn="0"/>
              <w:rPr>
                <w:b/>
              </w:rPr>
            </w:pPr>
            <w:r w:rsidRPr="00640ACC">
              <w:rPr>
                <w:b/>
              </w:rPr>
              <w:t>Other</w:t>
            </w:r>
          </w:p>
        </w:tc>
        <w:tc>
          <w:tcPr>
            <w:tcW w:w="458" w:type="pct"/>
            <w:noWrap/>
            <w:vAlign w:val="center"/>
            <w:hideMark/>
          </w:tcPr>
          <w:p w14:paraId="202794AB" w14:textId="77777777" w:rsidR="00BA1E77" w:rsidRPr="00640ACC" w:rsidRDefault="00BA1E77" w:rsidP="00C70998">
            <w:pPr>
              <w:pStyle w:val="JRCTabletext9pt"/>
              <w:cnfStyle w:val="000000000000" w:firstRow="0" w:lastRow="0" w:firstColumn="0" w:lastColumn="0" w:oddVBand="0" w:evenVBand="0" w:oddHBand="0" w:evenHBand="0" w:firstRowFirstColumn="0" w:firstRowLastColumn="0" w:lastRowFirstColumn="0" w:lastRowLastColumn="0"/>
              <w:rPr>
                <w:b/>
              </w:rPr>
            </w:pPr>
            <w:r w:rsidRPr="00640ACC">
              <w:rPr>
                <w:b/>
              </w:rPr>
              <w:t>Other- Nautica</w:t>
            </w:r>
          </w:p>
        </w:tc>
        <w:tc>
          <w:tcPr>
            <w:tcW w:w="648" w:type="pct"/>
            <w:noWrap/>
            <w:vAlign w:val="center"/>
            <w:hideMark/>
          </w:tcPr>
          <w:p w14:paraId="297F26F5" w14:textId="77777777" w:rsidR="00BA1E77" w:rsidRPr="00640ACC" w:rsidRDefault="00BA1E77" w:rsidP="00C70998">
            <w:pPr>
              <w:pStyle w:val="JRCTabletext9pt"/>
              <w:cnfStyle w:val="000000000000" w:firstRow="0" w:lastRow="0" w:firstColumn="0" w:lastColumn="0" w:oddVBand="0" w:evenVBand="0" w:oddHBand="0" w:evenHBand="0" w:firstRowFirstColumn="0" w:firstRowLastColumn="0" w:lastRowFirstColumn="0" w:lastRowLastColumn="0"/>
              <w:rPr>
                <w:b/>
              </w:rPr>
            </w:pPr>
            <w:r w:rsidRPr="00640ACC">
              <w:rPr>
                <w:b/>
              </w:rPr>
              <w:t>Other: construction</w:t>
            </w:r>
          </w:p>
        </w:tc>
        <w:tc>
          <w:tcPr>
            <w:tcW w:w="771" w:type="pct"/>
            <w:noWrap/>
            <w:vAlign w:val="center"/>
            <w:hideMark/>
          </w:tcPr>
          <w:p w14:paraId="0E065FBF" w14:textId="77777777" w:rsidR="00BA1E77" w:rsidRPr="00640ACC" w:rsidRDefault="00BA1E77" w:rsidP="00C70998">
            <w:pPr>
              <w:pStyle w:val="JRCTabletext9pt"/>
              <w:cnfStyle w:val="000000000000" w:firstRow="0" w:lastRow="0" w:firstColumn="0" w:lastColumn="0" w:oddVBand="0" w:evenVBand="0" w:oddHBand="0" w:evenHBand="0" w:firstRowFirstColumn="0" w:firstRowLastColumn="0" w:lastRowFirstColumn="0" w:lastRowLastColumn="0"/>
              <w:rPr>
                <w:b/>
              </w:rPr>
            </w:pPr>
            <w:r w:rsidRPr="00640ACC">
              <w:rPr>
                <w:b/>
              </w:rPr>
              <w:t>Sustainable Agriculture and Food Value Chain</w:t>
            </w:r>
          </w:p>
        </w:tc>
        <w:tc>
          <w:tcPr>
            <w:tcW w:w="771" w:type="pct"/>
            <w:noWrap/>
            <w:vAlign w:val="center"/>
            <w:hideMark/>
          </w:tcPr>
          <w:p w14:paraId="2593D497" w14:textId="77777777" w:rsidR="00BA1E77" w:rsidRPr="00640ACC" w:rsidRDefault="00BA1E77" w:rsidP="00C70998">
            <w:pPr>
              <w:pStyle w:val="JRCTabletext9pt"/>
              <w:cnfStyle w:val="000000000000" w:firstRow="0" w:lastRow="0" w:firstColumn="0" w:lastColumn="0" w:oddVBand="0" w:evenVBand="0" w:oddHBand="0" w:evenHBand="0" w:firstRowFirstColumn="0" w:firstRowLastColumn="0" w:lastRowFirstColumn="0" w:lastRowLastColumn="0"/>
              <w:rPr>
                <w:b/>
              </w:rPr>
            </w:pPr>
            <w:r w:rsidRPr="00640ACC">
              <w:rPr>
                <w:b/>
              </w:rPr>
              <w:t>Sustainable health tourism</w:t>
            </w:r>
          </w:p>
        </w:tc>
        <w:tc>
          <w:tcPr>
            <w:tcW w:w="366" w:type="pct"/>
            <w:noWrap/>
            <w:vAlign w:val="center"/>
            <w:hideMark/>
          </w:tcPr>
          <w:p w14:paraId="334F7328" w14:textId="77777777" w:rsidR="00BA1E77" w:rsidRPr="00640ACC" w:rsidRDefault="00BA1E77" w:rsidP="00C70998">
            <w:pPr>
              <w:pStyle w:val="JRCTabletext9pt"/>
              <w:cnfStyle w:val="000000000000" w:firstRow="0" w:lastRow="0" w:firstColumn="0" w:lastColumn="0" w:oddVBand="0" w:evenVBand="0" w:oddHBand="0" w:evenHBand="0" w:firstRowFirstColumn="0" w:firstRowLastColumn="0" w:lastRowFirstColumn="0" w:lastRowLastColumn="0"/>
              <w:rPr>
                <w:b/>
              </w:rPr>
            </w:pPr>
            <w:r w:rsidRPr="00640ACC">
              <w:rPr>
                <w:b/>
              </w:rPr>
              <w:t>Total</w:t>
            </w:r>
          </w:p>
        </w:tc>
      </w:tr>
      <w:tr w:rsidR="00BA1E77" w:rsidRPr="00C62602" w14:paraId="0DAA1717" w14:textId="77777777" w:rsidTr="00C70998">
        <w:trPr>
          <w:trHeight w:val="130"/>
        </w:trPr>
        <w:tc>
          <w:tcPr>
            <w:cnfStyle w:val="001000000000" w:firstRow="0" w:lastRow="0" w:firstColumn="1" w:lastColumn="0" w:oddVBand="0" w:evenVBand="0" w:oddHBand="0" w:evenHBand="0" w:firstRowFirstColumn="0" w:firstRowLastColumn="0" w:lastRowFirstColumn="0" w:lastRowLastColumn="0"/>
            <w:tcW w:w="654" w:type="pct"/>
            <w:noWrap/>
            <w:vAlign w:val="center"/>
            <w:hideMark/>
          </w:tcPr>
          <w:p w14:paraId="7A3ABD77" w14:textId="77777777" w:rsidR="00BA1E77" w:rsidRPr="00C62602" w:rsidRDefault="00BA1E77" w:rsidP="00C70998">
            <w:pPr>
              <w:pStyle w:val="JRCTabletext9pt"/>
            </w:pPr>
            <w:r w:rsidRPr="00C62602">
              <w:t>Bar</w:t>
            </w:r>
          </w:p>
        </w:tc>
        <w:tc>
          <w:tcPr>
            <w:tcW w:w="658" w:type="pct"/>
            <w:noWrap/>
            <w:vAlign w:val="center"/>
            <w:hideMark/>
          </w:tcPr>
          <w:p w14:paraId="3A8385DA"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C62602">
              <w:t>0</w:t>
            </w:r>
            <w:r>
              <w:t>.</w:t>
            </w:r>
            <w:r w:rsidRPr="00C62602">
              <w:t>13</w:t>
            </w:r>
          </w:p>
        </w:tc>
        <w:tc>
          <w:tcPr>
            <w:tcW w:w="304" w:type="pct"/>
            <w:noWrap/>
            <w:vAlign w:val="center"/>
            <w:hideMark/>
          </w:tcPr>
          <w:p w14:paraId="62B2CD57"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C62602">
              <w:t>0</w:t>
            </w:r>
            <w:r>
              <w:t>.</w:t>
            </w:r>
            <w:r w:rsidRPr="00C62602">
              <w:t>01</w:t>
            </w:r>
          </w:p>
        </w:tc>
        <w:tc>
          <w:tcPr>
            <w:tcW w:w="369" w:type="pct"/>
            <w:noWrap/>
            <w:vAlign w:val="center"/>
            <w:hideMark/>
          </w:tcPr>
          <w:p w14:paraId="007C77F3"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C62602">
              <w:t>0</w:t>
            </w:r>
            <w:r>
              <w:t>.</w:t>
            </w:r>
            <w:r w:rsidRPr="00C62602">
              <w:t>01</w:t>
            </w:r>
          </w:p>
        </w:tc>
        <w:tc>
          <w:tcPr>
            <w:tcW w:w="458" w:type="pct"/>
            <w:noWrap/>
            <w:vAlign w:val="center"/>
            <w:hideMark/>
          </w:tcPr>
          <w:p w14:paraId="421243A0"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p>
        </w:tc>
        <w:tc>
          <w:tcPr>
            <w:tcW w:w="648" w:type="pct"/>
            <w:noWrap/>
            <w:vAlign w:val="center"/>
            <w:hideMark/>
          </w:tcPr>
          <w:p w14:paraId="51B91A41"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p>
        </w:tc>
        <w:tc>
          <w:tcPr>
            <w:tcW w:w="771" w:type="pct"/>
            <w:noWrap/>
            <w:vAlign w:val="center"/>
            <w:hideMark/>
          </w:tcPr>
          <w:p w14:paraId="45311FB5"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C62602">
              <w:t>0</w:t>
            </w:r>
            <w:r>
              <w:t>.</w:t>
            </w:r>
            <w:r w:rsidRPr="00C62602">
              <w:t>13</w:t>
            </w:r>
          </w:p>
        </w:tc>
        <w:tc>
          <w:tcPr>
            <w:tcW w:w="771" w:type="pct"/>
            <w:noWrap/>
            <w:vAlign w:val="center"/>
            <w:hideMark/>
          </w:tcPr>
          <w:p w14:paraId="089A3268"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p>
        </w:tc>
        <w:tc>
          <w:tcPr>
            <w:tcW w:w="366" w:type="pct"/>
            <w:noWrap/>
            <w:vAlign w:val="center"/>
            <w:hideMark/>
          </w:tcPr>
          <w:p w14:paraId="1E8C767B"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C62602">
              <w:t>0</w:t>
            </w:r>
            <w:r>
              <w:t>.</w:t>
            </w:r>
            <w:r w:rsidRPr="00C62602">
              <w:t xml:space="preserve">28 </w:t>
            </w:r>
          </w:p>
        </w:tc>
      </w:tr>
      <w:tr w:rsidR="00BA1E77" w:rsidRPr="00C62602" w14:paraId="1D40C6F3" w14:textId="77777777" w:rsidTr="00C70998">
        <w:trPr>
          <w:trHeight w:val="133"/>
        </w:trPr>
        <w:tc>
          <w:tcPr>
            <w:cnfStyle w:val="001000000000" w:firstRow="0" w:lastRow="0" w:firstColumn="1" w:lastColumn="0" w:oddVBand="0" w:evenVBand="0" w:oddHBand="0" w:evenHBand="0" w:firstRowFirstColumn="0" w:firstRowLastColumn="0" w:lastRowFirstColumn="0" w:lastRowLastColumn="0"/>
            <w:tcW w:w="654" w:type="pct"/>
            <w:noWrap/>
            <w:vAlign w:val="center"/>
            <w:hideMark/>
          </w:tcPr>
          <w:p w14:paraId="51448EFE" w14:textId="77777777" w:rsidR="00BA1E77" w:rsidRPr="00C62602" w:rsidRDefault="00BA1E77" w:rsidP="00C70998">
            <w:pPr>
              <w:pStyle w:val="JRCTabletext9pt"/>
            </w:pPr>
            <w:proofErr w:type="spellStart"/>
            <w:r w:rsidRPr="00C62602">
              <w:t>Berane</w:t>
            </w:r>
            <w:proofErr w:type="spellEnd"/>
          </w:p>
        </w:tc>
        <w:tc>
          <w:tcPr>
            <w:tcW w:w="658" w:type="pct"/>
            <w:noWrap/>
            <w:vAlign w:val="center"/>
            <w:hideMark/>
          </w:tcPr>
          <w:p w14:paraId="4E2E849C"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C62602">
              <w:t>0</w:t>
            </w:r>
            <w:r>
              <w:t>.</w:t>
            </w:r>
            <w:r w:rsidRPr="00C62602">
              <w:t>47</w:t>
            </w:r>
          </w:p>
        </w:tc>
        <w:tc>
          <w:tcPr>
            <w:tcW w:w="304" w:type="pct"/>
            <w:noWrap/>
            <w:vAlign w:val="center"/>
            <w:hideMark/>
          </w:tcPr>
          <w:p w14:paraId="69A22272"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p>
        </w:tc>
        <w:tc>
          <w:tcPr>
            <w:tcW w:w="369" w:type="pct"/>
            <w:noWrap/>
            <w:vAlign w:val="center"/>
            <w:hideMark/>
          </w:tcPr>
          <w:p w14:paraId="0C105E16"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p>
        </w:tc>
        <w:tc>
          <w:tcPr>
            <w:tcW w:w="458" w:type="pct"/>
            <w:noWrap/>
            <w:vAlign w:val="center"/>
            <w:hideMark/>
          </w:tcPr>
          <w:p w14:paraId="6AF63055"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p>
        </w:tc>
        <w:tc>
          <w:tcPr>
            <w:tcW w:w="648" w:type="pct"/>
            <w:noWrap/>
            <w:vAlign w:val="center"/>
            <w:hideMark/>
          </w:tcPr>
          <w:p w14:paraId="01A90B84"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p>
        </w:tc>
        <w:tc>
          <w:tcPr>
            <w:tcW w:w="771" w:type="pct"/>
            <w:noWrap/>
            <w:vAlign w:val="center"/>
            <w:hideMark/>
          </w:tcPr>
          <w:p w14:paraId="4D2B8A50"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p>
        </w:tc>
        <w:tc>
          <w:tcPr>
            <w:tcW w:w="771" w:type="pct"/>
            <w:noWrap/>
            <w:vAlign w:val="center"/>
            <w:hideMark/>
          </w:tcPr>
          <w:p w14:paraId="1A660438"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p>
        </w:tc>
        <w:tc>
          <w:tcPr>
            <w:tcW w:w="366" w:type="pct"/>
            <w:noWrap/>
            <w:vAlign w:val="center"/>
            <w:hideMark/>
          </w:tcPr>
          <w:p w14:paraId="56BC9F86"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C62602">
              <w:t>0</w:t>
            </w:r>
            <w:r>
              <w:t>.</w:t>
            </w:r>
            <w:r w:rsidRPr="00C62602">
              <w:t xml:space="preserve">47 </w:t>
            </w:r>
          </w:p>
        </w:tc>
      </w:tr>
      <w:tr w:rsidR="00BA1E77" w:rsidRPr="00C62602" w14:paraId="0A02C926" w14:textId="77777777" w:rsidTr="00C70998">
        <w:trPr>
          <w:trHeight w:val="123"/>
        </w:trPr>
        <w:tc>
          <w:tcPr>
            <w:cnfStyle w:val="001000000000" w:firstRow="0" w:lastRow="0" w:firstColumn="1" w:lastColumn="0" w:oddVBand="0" w:evenVBand="0" w:oddHBand="0" w:evenHBand="0" w:firstRowFirstColumn="0" w:firstRowLastColumn="0" w:lastRowFirstColumn="0" w:lastRowLastColumn="0"/>
            <w:tcW w:w="654" w:type="pct"/>
            <w:noWrap/>
            <w:vAlign w:val="center"/>
            <w:hideMark/>
          </w:tcPr>
          <w:p w14:paraId="591D2800" w14:textId="77777777" w:rsidR="00BA1E77" w:rsidRPr="00C62602" w:rsidRDefault="00BA1E77" w:rsidP="00C70998">
            <w:pPr>
              <w:pStyle w:val="JRCTabletext9pt"/>
            </w:pPr>
            <w:proofErr w:type="spellStart"/>
            <w:r w:rsidRPr="00C62602">
              <w:t>Bijelo</w:t>
            </w:r>
            <w:proofErr w:type="spellEnd"/>
            <w:r w:rsidRPr="00C62602">
              <w:t xml:space="preserve"> Polje</w:t>
            </w:r>
          </w:p>
        </w:tc>
        <w:tc>
          <w:tcPr>
            <w:tcW w:w="658" w:type="pct"/>
            <w:noWrap/>
            <w:vAlign w:val="center"/>
            <w:hideMark/>
          </w:tcPr>
          <w:p w14:paraId="4E946C07"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p>
        </w:tc>
        <w:tc>
          <w:tcPr>
            <w:tcW w:w="304" w:type="pct"/>
            <w:noWrap/>
            <w:vAlign w:val="center"/>
            <w:hideMark/>
          </w:tcPr>
          <w:p w14:paraId="2F013531"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C62602">
              <w:t>0</w:t>
            </w:r>
            <w:r>
              <w:t>.</w:t>
            </w:r>
            <w:r w:rsidRPr="00C62602">
              <w:t>03</w:t>
            </w:r>
          </w:p>
        </w:tc>
        <w:tc>
          <w:tcPr>
            <w:tcW w:w="369" w:type="pct"/>
            <w:noWrap/>
            <w:vAlign w:val="center"/>
            <w:hideMark/>
          </w:tcPr>
          <w:p w14:paraId="5C625AD0"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p>
        </w:tc>
        <w:tc>
          <w:tcPr>
            <w:tcW w:w="458" w:type="pct"/>
            <w:noWrap/>
            <w:vAlign w:val="center"/>
            <w:hideMark/>
          </w:tcPr>
          <w:p w14:paraId="4442B860"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p>
        </w:tc>
        <w:tc>
          <w:tcPr>
            <w:tcW w:w="648" w:type="pct"/>
            <w:noWrap/>
            <w:vAlign w:val="center"/>
            <w:hideMark/>
          </w:tcPr>
          <w:p w14:paraId="4EA81A68"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p>
        </w:tc>
        <w:tc>
          <w:tcPr>
            <w:tcW w:w="771" w:type="pct"/>
            <w:noWrap/>
            <w:vAlign w:val="center"/>
            <w:hideMark/>
          </w:tcPr>
          <w:p w14:paraId="2209F853"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p>
        </w:tc>
        <w:tc>
          <w:tcPr>
            <w:tcW w:w="771" w:type="pct"/>
            <w:noWrap/>
            <w:vAlign w:val="center"/>
            <w:hideMark/>
          </w:tcPr>
          <w:p w14:paraId="73885B3F"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p>
        </w:tc>
        <w:tc>
          <w:tcPr>
            <w:tcW w:w="366" w:type="pct"/>
            <w:noWrap/>
            <w:vAlign w:val="center"/>
            <w:hideMark/>
          </w:tcPr>
          <w:p w14:paraId="51216A95"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C62602">
              <w:t>0</w:t>
            </w:r>
            <w:r>
              <w:t>.</w:t>
            </w:r>
            <w:r w:rsidRPr="00C62602">
              <w:t xml:space="preserve">03 </w:t>
            </w:r>
          </w:p>
        </w:tc>
      </w:tr>
      <w:tr w:rsidR="00BA1E77" w:rsidRPr="00C62602" w14:paraId="3B6AB19F" w14:textId="77777777" w:rsidTr="00C70998">
        <w:trPr>
          <w:trHeight w:val="113"/>
        </w:trPr>
        <w:tc>
          <w:tcPr>
            <w:cnfStyle w:val="001000000000" w:firstRow="0" w:lastRow="0" w:firstColumn="1" w:lastColumn="0" w:oddVBand="0" w:evenVBand="0" w:oddHBand="0" w:evenHBand="0" w:firstRowFirstColumn="0" w:firstRowLastColumn="0" w:lastRowFirstColumn="0" w:lastRowLastColumn="0"/>
            <w:tcW w:w="654" w:type="pct"/>
            <w:noWrap/>
            <w:vAlign w:val="center"/>
            <w:hideMark/>
          </w:tcPr>
          <w:p w14:paraId="27EB6350" w14:textId="77777777" w:rsidR="00BA1E77" w:rsidRPr="00C62602" w:rsidRDefault="00BA1E77" w:rsidP="00C70998">
            <w:pPr>
              <w:pStyle w:val="JRCTabletext9pt"/>
            </w:pPr>
            <w:r w:rsidRPr="00C62602">
              <w:t>Cetinje</w:t>
            </w:r>
          </w:p>
        </w:tc>
        <w:tc>
          <w:tcPr>
            <w:tcW w:w="658" w:type="pct"/>
            <w:noWrap/>
            <w:vAlign w:val="center"/>
            <w:hideMark/>
          </w:tcPr>
          <w:p w14:paraId="0C4DC9DC"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p>
        </w:tc>
        <w:tc>
          <w:tcPr>
            <w:tcW w:w="304" w:type="pct"/>
            <w:noWrap/>
            <w:vAlign w:val="center"/>
            <w:hideMark/>
          </w:tcPr>
          <w:p w14:paraId="1F45AF93"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C62602">
              <w:t>0</w:t>
            </w:r>
            <w:r>
              <w:t>.</w:t>
            </w:r>
            <w:r w:rsidRPr="00C62602">
              <w:t>11</w:t>
            </w:r>
          </w:p>
        </w:tc>
        <w:tc>
          <w:tcPr>
            <w:tcW w:w="369" w:type="pct"/>
            <w:noWrap/>
            <w:vAlign w:val="center"/>
            <w:hideMark/>
          </w:tcPr>
          <w:p w14:paraId="4F6D6C26"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p>
        </w:tc>
        <w:tc>
          <w:tcPr>
            <w:tcW w:w="458" w:type="pct"/>
            <w:noWrap/>
            <w:vAlign w:val="center"/>
            <w:hideMark/>
          </w:tcPr>
          <w:p w14:paraId="33DACE2A"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p>
        </w:tc>
        <w:tc>
          <w:tcPr>
            <w:tcW w:w="648" w:type="pct"/>
            <w:noWrap/>
            <w:vAlign w:val="center"/>
            <w:hideMark/>
          </w:tcPr>
          <w:p w14:paraId="6C23EB5C"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p>
        </w:tc>
        <w:tc>
          <w:tcPr>
            <w:tcW w:w="771" w:type="pct"/>
            <w:noWrap/>
            <w:vAlign w:val="center"/>
            <w:hideMark/>
          </w:tcPr>
          <w:p w14:paraId="39091AEA"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p>
        </w:tc>
        <w:tc>
          <w:tcPr>
            <w:tcW w:w="771" w:type="pct"/>
            <w:noWrap/>
            <w:vAlign w:val="center"/>
            <w:hideMark/>
          </w:tcPr>
          <w:p w14:paraId="2D5A4B77"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p>
        </w:tc>
        <w:tc>
          <w:tcPr>
            <w:tcW w:w="366" w:type="pct"/>
            <w:noWrap/>
            <w:vAlign w:val="center"/>
            <w:hideMark/>
          </w:tcPr>
          <w:p w14:paraId="7C0DE081"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C62602">
              <w:t>0</w:t>
            </w:r>
            <w:r>
              <w:t>.</w:t>
            </w:r>
            <w:r w:rsidRPr="00C62602">
              <w:t xml:space="preserve">11 </w:t>
            </w:r>
          </w:p>
        </w:tc>
      </w:tr>
      <w:tr w:rsidR="00BA1E77" w:rsidRPr="00C62602" w14:paraId="3546E9E5" w14:textId="77777777" w:rsidTr="00C70998">
        <w:trPr>
          <w:trHeight w:val="173"/>
        </w:trPr>
        <w:tc>
          <w:tcPr>
            <w:cnfStyle w:val="001000000000" w:firstRow="0" w:lastRow="0" w:firstColumn="1" w:lastColumn="0" w:oddVBand="0" w:evenVBand="0" w:oddHBand="0" w:evenHBand="0" w:firstRowFirstColumn="0" w:firstRowLastColumn="0" w:lastRowFirstColumn="0" w:lastRowLastColumn="0"/>
            <w:tcW w:w="654" w:type="pct"/>
            <w:noWrap/>
            <w:vAlign w:val="center"/>
            <w:hideMark/>
          </w:tcPr>
          <w:p w14:paraId="072CE4E0" w14:textId="77777777" w:rsidR="00BA1E77" w:rsidRPr="00C62602" w:rsidRDefault="00BA1E77" w:rsidP="00C70998">
            <w:pPr>
              <w:pStyle w:val="JRCTabletext9pt"/>
            </w:pPr>
            <w:proofErr w:type="spellStart"/>
            <w:r w:rsidRPr="00C62602">
              <w:t>Danilovgrad</w:t>
            </w:r>
            <w:proofErr w:type="spellEnd"/>
          </w:p>
        </w:tc>
        <w:tc>
          <w:tcPr>
            <w:tcW w:w="658" w:type="pct"/>
            <w:noWrap/>
            <w:vAlign w:val="center"/>
            <w:hideMark/>
          </w:tcPr>
          <w:p w14:paraId="60551D1F"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p>
        </w:tc>
        <w:tc>
          <w:tcPr>
            <w:tcW w:w="304" w:type="pct"/>
            <w:noWrap/>
            <w:vAlign w:val="center"/>
            <w:hideMark/>
          </w:tcPr>
          <w:p w14:paraId="3C4B0D7F"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p>
        </w:tc>
        <w:tc>
          <w:tcPr>
            <w:tcW w:w="369" w:type="pct"/>
            <w:noWrap/>
            <w:vAlign w:val="center"/>
            <w:hideMark/>
          </w:tcPr>
          <w:p w14:paraId="265195CF"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C62602">
              <w:t>0</w:t>
            </w:r>
            <w:r>
              <w:t>.</w:t>
            </w:r>
            <w:r w:rsidRPr="00C62602">
              <w:t xml:space="preserve">26 </w:t>
            </w:r>
          </w:p>
        </w:tc>
        <w:tc>
          <w:tcPr>
            <w:tcW w:w="458" w:type="pct"/>
            <w:noWrap/>
            <w:vAlign w:val="center"/>
            <w:hideMark/>
          </w:tcPr>
          <w:p w14:paraId="22ECE36B"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p>
        </w:tc>
        <w:tc>
          <w:tcPr>
            <w:tcW w:w="648" w:type="pct"/>
            <w:noWrap/>
            <w:vAlign w:val="center"/>
            <w:hideMark/>
          </w:tcPr>
          <w:p w14:paraId="74DD42B4"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p>
        </w:tc>
        <w:tc>
          <w:tcPr>
            <w:tcW w:w="771" w:type="pct"/>
            <w:noWrap/>
            <w:vAlign w:val="center"/>
            <w:hideMark/>
          </w:tcPr>
          <w:p w14:paraId="6754F47D"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p>
        </w:tc>
        <w:tc>
          <w:tcPr>
            <w:tcW w:w="771" w:type="pct"/>
            <w:noWrap/>
            <w:vAlign w:val="center"/>
            <w:hideMark/>
          </w:tcPr>
          <w:p w14:paraId="41345E6A"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p>
        </w:tc>
        <w:tc>
          <w:tcPr>
            <w:tcW w:w="366" w:type="pct"/>
            <w:noWrap/>
            <w:vAlign w:val="center"/>
            <w:hideMark/>
          </w:tcPr>
          <w:p w14:paraId="1116DDC8"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C62602">
              <w:t>0</w:t>
            </w:r>
            <w:r>
              <w:t>.</w:t>
            </w:r>
            <w:r w:rsidRPr="00C62602">
              <w:t xml:space="preserve">26 </w:t>
            </w:r>
          </w:p>
        </w:tc>
      </w:tr>
      <w:tr w:rsidR="00BA1E77" w:rsidRPr="00C62602" w14:paraId="39AB61F0" w14:textId="77777777" w:rsidTr="00C70998">
        <w:trPr>
          <w:trHeight w:val="248"/>
        </w:trPr>
        <w:tc>
          <w:tcPr>
            <w:cnfStyle w:val="001000000000" w:firstRow="0" w:lastRow="0" w:firstColumn="1" w:lastColumn="0" w:oddVBand="0" w:evenVBand="0" w:oddHBand="0" w:evenHBand="0" w:firstRowFirstColumn="0" w:firstRowLastColumn="0" w:lastRowFirstColumn="0" w:lastRowLastColumn="0"/>
            <w:tcW w:w="654" w:type="pct"/>
            <w:noWrap/>
            <w:vAlign w:val="center"/>
            <w:hideMark/>
          </w:tcPr>
          <w:p w14:paraId="7C87BE6B" w14:textId="77777777" w:rsidR="00BA1E77" w:rsidRPr="00C62602" w:rsidRDefault="00BA1E77" w:rsidP="00C70998">
            <w:pPr>
              <w:pStyle w:val="JRCTabletext9pt"/>
            </w:pPr>
            <w:r w:rsidRPr="00C62602">
              <w:t>Herceg Novi</w:t>
            </w:r>
          </w:p>
        </w:tc>
        <w:tc>
          <w:tcPr>
            <w:tcW w:w="658" w:type="pct"/>
            <w:noWrap/>
            <w:vAlign w:val="center"/>
            <w:hideMark/>
          </w:tcPr>
          <w:p w14:paraId="7EA112F7"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C62602">
              <w:t>0</w:t>
            </w:r>
            <w:r>
              <w:t>.</w:t>
            </w:r>
            <w:r w:rsidRPr="00C62602">
              <w:t>01</w:t>
            </w:r>
          </w:p>
        </w:tc>
        <w:tc>
          <w:tcPr>
            <w:tcW w:w="304" w:type="pct"/>
            <w:noWrap/>
            <w:vAlign w:val="center"/>
            <w:hideMark/>
          </w:tcPr>
          <w:p w14:paraId="046196EE"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C62602">
              <w:t>0</w:t>
            </w:r>
            <w:r>
              <w:t>.</w:t>
            </w:r>
            <w:r w:rsidRPr="00C62602">
              <w:t>08</w:t>
            </w:r>
          </w:p>
        </w:tc>
        <w:tc>
          <w:tcPr>
            <w:tcW w:w="369" w:type="pct"/>
            <w:noWrap/>
            <w:vAlign w:val="center"/>
            <w:hideMark/>
          </w:tcPr>
          <w:p w14:paraId="2EE7CC0E"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p>
        </w:tc>
        <w:tc>
          <w:tcPr>
            <w:tcW w:w="458" w:type="pct"/>
            <w:noWrap/>
            <w:vAlign w:val="center"/>
            <w:hideMark/>
          </w:tcPr>
          <w:p w14:paraId="0D8BF348"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p>
        </w:tc>
        <w:tc>
          <w:tcPr>
            <w:tcW w:w="648" w:type="pct"/>
            <w:noWrap/>
            <w:vAlign w:val="center"/>
            <w:hideMark/>
          </w:tcPr>
          <w:p w14:paraId="4D00BB7E"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p>
        </w:tc>
        <w:tc>
          <w:tcPr>
            <w:tcW w:w="771" w:type="pct"/>
            <w:noWrap/>
            <w:vAlign w:val="center"/>
            <w:hideMark/>
          </w:tcPr>
          <w:p w14:paraId="30259C4D"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p>
        </w:tc>
        <w:tc>
          <w:tcPr>
            <w:tcW w:w="771" w:type="pct"/>
            <w:noWrap/>
            <w:vAlign w:val="center"/>
            <w:hideMark/>
          </w:tcPr>
          <w:p w14:paraId="2DEA1369"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p>
        </w:tc>
        <w:tc>
          <w:tcPr>
            <w:tcW w:w="366" w:type="pct"/>
            <w:noWrap/>
            <w:vAlign w:val="center"/>
            <w:hideMark/>
          </w:tcPr>
          <w:p w14:paraId="07F76A08"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C62602">
              <w:t>0</w:t>
            </w:r>
            <w:r>
              <w:t>.</w:t>
            </w:r>
            <w:r w:rsidRPr="00C62602">
              <w:t xml:space="preserve">09 </w:t>
            </w:r>
          </w:p>
        </w:tc>
      </w:tr>
      <w:tr w:rsidR="00BA1E77" w:rsidRPr="00C62602" w14:paraId="6005E76D" w14:textId="77777777" w:rsidTr="00C70998">
        <w:trPr>
          <w:trHeight w:val="123"/>
        </w:trPr>
        <w:tc>
          <w:tcPr>
            <w:cnfStyle w:val="001000000000" w:firstRow="0" w:lastRow="0" w:firstColumn="1" w:lastColumn="0" w:oddVBand="0" w:evenVBand="0" w:oddHBand="0" w:evenHBand="0" w:firstRowFirstColumn="0" w:firstRowLastColumn="0" w:lastRowFirstColumn="0" w:lastRowLastColumn="0"/>
            <w:tcW w:w="654" w:type="pct"/>
            <w:noWrap/>
            <w:vAlign w:val="center"/>
            <w:hideMark/>
          </w:tcPr>
          <w:p w14:paraId="7ED91464" w14:textId="77777777" w:rsidR="00BA1E77" w:rsidRPr="00C62602" w:rsidRDefault="00BA1E77" w:rsidP="00C70998">
            <w:pPr>
              <w:pStyle w:val="JRCTabletext9pt"/>
            </w:pPr>
            <w:proofErr w:type="spellStart"/>
            <w:r w:rsidRPr="00C62602">
              <w:t>Kolašin</w:t>
            </w:r>
            <w:proofErr w:type="spellEnd"/>
          </w:p>
        </w:tc>
        <w:tc>
          <w:tcPr>
            <w:tcW w:w="658" w:type="pct"/>
            <w:noWrap/>
            <w:vAlign w:val="center"/>
            <w:hideMark/>
          </w:tcPr>
          <w:p w14:paraId="68F04938"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p>
        </w:tc>
        <w:tc>
          <w:tcPr>
            <w:tcW w:w="304" w:type="pct"/>
            <w:noWrap/>
            <w:vAlign w:val="center"/>
            <w:hideMark/>
          </w:tcPr>
          <w:p w14:paraId="6535E426"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C62602">
              <w:t>0</w:t>
            </w:r>
            <w:r>
              <w:t>.</w:t>
            </w:r>
            <w:r w:rsidRPr="00C62602">
              <w:t>21</w:t>
            </w:r>
          </w:p>
        </w:tc>
        <w:tc>
          <w:tcPr>
            <w:tcW w:w="369" w:type="pct"/>
            <w:noWrap/>
            <w:vAlign w:val="center"/>
            <w:hideMark/>
          </w:tcPr>
          <w:p w14:paraId="5F7E7AD7"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p>
        </w:tc>
        <w:tc>
          <w:tcPr>
            <w:tcW w:w="458" w:type="pct"/>
            <w:noWrap/>
            <w:vAlign w:val="center"/>
            <w:hideMark/>
          </w:tcPr>
          <w:p w14:paraId="123B7FAC"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p>
        </w:tc>
        <w:tc>
          <w:tcPr>
            <w:tcW w:w="648" w:type="pct"/>
            <w:noWrap/>
            <w:vAlign w:val="center"/>
            <w:hideMark/>
          </w:tcPr>
          <w:p w14:paraId="0F9D9CBD"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p>
        </w:tc>
        <w:tc>
          <w:tcPr>
            <w:tcW w:w="771" w:type="pct"/>
            <w:noWrap/>
            <w:vAlign w:val="center"/>
            <w:hideMark/>
          </w:tcPr>
          <w:p w14:paraId="2C92BB6E"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p>
        </w:tc>
        <w:tc>
          <w:tcPr>
            <w:tcW w:w="771" w:type="pct"/>
            <w:noWrap/>
            <w:vAlign w:val="center"/>
            <w:hideMark/>
          </w:tcPr>
          <w:p w14:paraId="142D2A5A"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p>
        </w:tc>
        <w:tc>
          <w:tcPr>
            <w:tcW w:w="366" w:type="pct"/>
            <w:noWrap/>
            <w:vAlign w:val="center"/>
            <w:hideMark/>
          </w:tcPr>
          <w:p w14:paraId="23BE8BCC"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C62602">
              <w:t>0</w:t>
            </w:r>
            <w:r>
              <w:t>.</w:t>
            </w:r>
            <w:r w:rsidRPr="00C62602">
              <w:t xml:space="preserve">21 </w:t>
            </w:r>
          </w:p>
        </w:tc>
      </w:tr>
      <w:tr w:rsidR="00BA1E77" w:rsidRPr="00C62602" w14:paraId="4E36641B" w14:textId="77777777" w:rsidTr="00C70998">
        <w:trPr>
          <w:trHeight w:val="197"/>
        </w:trPr>
        <w:tc>
          <w:tcPr>
            <w:cnfStyle w:val="001000000000" w:firstRow="0" w:lastRow="0" w:firstColumn="1" w:lastColumn="0" w:oddVBand="0" w:evenVBand="0" w:oddHBand="0" w:evenHBand="0" w:firstRowFirstColumn="0" w:firstRowLastColumn="0" w:lastRowFirstColumn="0" w:lastRowLastColumn="0"/>
            <w:tcW w:w="654" w:type="pct"/>
            <w:noWrap/>
            <w:vAlign w:val="center"/>
            <w:hideMark/>
          </w:tcPr>
          <w:p w14:paraId="5D8C2407" w14:textId="77777777" w:rsidR="00BA1E77" w:rsidRPr="00C62602" w:rsidRDefault="00BA1E77" w:rsidP="00C70998">
            <w:pPr>
              <w:pStyle w:val="JRCTabletext9pt"/>
            </w:pPr>
            <w:r w:rsidRPr="00C62602">
              <w:t>Nikšić</w:t>
            </w:r>
          </w:p>
        </w:tc>
        <w:tc>
          <w:tcPr>
            <w:tcW w:w="658" w:type="pct"/>
            <w:noWrap/>
            <w:vAlign w:val="center"/>
            <w:hideMark/>
          </w:tcPr>
          <w:p w14:paraId="644EFBCE"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C62602">
              <w:t>0</w:t>
            </w:r>
            <w:r>
              <w:t>.</w:t>
            </w:r>
            <w:r w:rsidRPr="00C62602">
              <w:t>98</w:t>
            </w:r>
          </w:p>
        </w:tc>
        <w:tc>
          <w:tcPr>
            <w:tcW w:w="304" w:type="pct"/>
            <w:noWrap/>
            <w:vAlign w:val="center"/>
            <w:hideMark/>
          </w:tcPr>
          <w:p w14:paraId="451EF0D1"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p>
        </w:tc>
        <w:tc>
          <w:tcPr>
            <w:tcW w:w="369" w:type="pct"/>
            <w:noWrap/>
            <w:vAlign w:val="center"/>
            <w:hideMark/>
          </w:tcPr>
          <w:p w14:paraId="4F0959BE"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C62602">
              <w:t>0</w:t>
            </w:r>
            <w:r>
              <w:t>.</w:t>
            </w:r>
            <w:r w:rsidRPr="00C62602">
              <w:t xml:space="preserve">18 </w:t>
            </w:r>
          </w:p>
        </w:tc>
        <w:tc>
          <w:tcPr>
            <w:tcW w:w="458" w:type="pct"/>
            <w:noWrap/>
            <w:vAlign w:val="center"/>
            <w:hideMark/>
          </w:tcPr>
          <w:p w14:paraId="34C4A35E"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p>
        </w:tc>
        <w:tc>
          <w:tcPr>
            <w:tcW w:w="648" w:type="pct"/>
            <w:noWrap/>
            <w:vAlign w:val="center"/>
            <w:hideMark/>
          </w:tcPr>
          <w:p w14:paraId="76BC22B7"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p>
        </w:tc>
        <w:tc>
          <w:tcPr>
            <w:tcW w:w="771" w:type="pct"/>
            <w:noWrap/>
            <w:vAlign w:val="center"/>
            <w:hideMark/>
          </w:tcPr>
          <w:p w14:paraId="2A8CB0F5"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C62602">
              <w:t>0</w:t>
            </w:r>
            <w:r>
              <w:t>.</w:t>
            </w:r>
            <w:r w:rsidRPr="00C62602">
              <w:t>21</w:t>
            </w:r>
          </w:p>
        </w:tc>
        <w:tc>
          <w:tcPr>
            <w:tcW w:w="771" w:type="pct"/>
            <w:noWrap/>
            <w:vAlign w:val="center"/>
            <w:hideMark/>
          </w:tcPr>
          <w:p w14:paraId="726D5ED3"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p>
        </w:tc>
        <w:tc>
          <w:tcPr>
            <w:tcW w:w="366" w:type="pct"/>
            <w:noWrap/>
            <w:vAlign w:val="center"/>
            <w:hideMark/>
          </w:tcPr>
          <w:p w14:paraId="68DBAADA"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C62602">
              <w:t>1</w:t>
            </w:r>
            <w:r>
              <w:t>.</w:t>
            </w:r>
            <w:r w:rsidRPr="00C62602">
              <w:t xml:space="preserve">37 </w:t>
            </w:r>
          </w:p>
        </w:tc>
      </w:tr>
      <w:tr w:rsidR="00BA1E77" w:rsidRPr="00C62602" w14:paraId="7FCB2F1C" w14:textId="77777777" w:rsidTr="00C70998">
        <w:trPr>
          <w:trHeight w:val="257"/>
        </w:trPr>
        <w:tc>
          <w:tcPr>
            <w:cnfStyle w:val="001000000000" w:firstRow="0" w:lastRow="0" w:firstColumn="1" w:lastColumn="0" w:oddVBand="0" w:evenVBand="0" w:oddHBand="0" w:evenHBand="0" w:firstRowFirstColumn="0" w:firstRowLastColumn="0" w:lastRowFirstColumn="0" w:lastRowLastColumn="0"/>
            <w:tcW w:w="654" w:type="pct"/>
            <w:noWrap/>
            <w:vAlign w:val="center"/>
            <w:hideMark/>
          </w:tcPr>
          <w:p w14:paraId="17AB43C4" w14:textId="77777777" w:rsidR="00BA1E77" w:rsidRPr="00C62602" w:rsidRDefault="00BA1E77" w:rsidP="00C70998">
            <w:pPr>
              <w:pStyle w:val="JRCTabletext9pt"/>
            </w:pPr>
            <w:proofErr w:type="spellStart"/>
            <w:r w:rsidRPr="00C62602">
              <w:lastRenderedPageBreak/>
              <w:t>Petrovac</w:t>
            </w:r>
            <w:proofErr w:type="spellEnd"/>
          </w:p>
        </w:tc>
        <w:tc>
          <w:tcPr>
            <w:tcW w:w="658" w:type="pct"/>
            <w:noWrap/>
            <w:vAlign w:val="center"/>
            <w:hideMark/>
          </w:tcPr>
          <w:p w14:paraId="20537585"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p>
        </w:tc>
        <w:tc>
          <w:tcPr>
            <w:tcW w:w="304" w:type="pct"/>
            <w:noWrap/>
            <w:vAlign w:val="center"/>
            <w:hideMark/>
          </w:tcPr>
          <w:p w14:paraId="3CD03573"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C62602">
              <w:t>0</w:t>
            </w:r>
            <w:r>
              <w:t>.</w:t>
            </w:r>
            <w:r w:rsidRPr="00C62602">
              <w:t xml:space="preserve">01 </w:t>
            </w:r>
          </w:p>
        </w:tc>
        <w:tc>
          <w:tcPr>
            <w:tcW w:w="369" w:type="pct"/>
            <w:noWrap/>
            <w:vAlign w:val="center"/>
            <w:hideMark/>
          </w:tcPr>
          <w:p w14:paraId="1A9F5738"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p>
        </w:tc>
        <w:tc>
          <w:tcPr>
            <w:tcW w:w="458" w:type="pct"/>
            <w:noWrap/>
            <w:vAlign w:val="center"/>
            <w:hideMark/>
          </w:tcPr>
          <w:p w14:paraId="6DE1BC08"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p>
        </w:tc>
        <w:tc>
          <w:tcPr>
            <w:tcW w:w="648" w:type="pct"/>
            <w:noWrap/>
            <w:vAlign w:val="center"/>
            <w:hideMark/>
          </w:tcPr>
          <w:p w14:paraId="07F7840F"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p>
        </w:tc>
        <w:tc>
          <w:tcPr>
            <w:tcW w:w="771" w:type="pct"/>
            <w:noWrap/>
            <w:vAlign w:val="center"/>
            <w:hideMark/>
          </w:tcPr>
          <w:p w14:paraId="3D91DE62"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p>
        </w:tc>
        <w:tc>
          <w:tcPr>
            <w:tcW w:w="771" w:type="pct"/>
            <w:noWrap/>
            <w:vAlign w:val="center"/>
            <w:hideMark/>
          </w:tcPr>
          <w:p w14:paraId="200D3284"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p>
        </w:tc>
        <w:tc>
          <w:tcPr>
            <w:tcW w:w="366" w:type="pct"/>
            <w:noWrap/>
            <w:vAlign w:val="center"/>
            <w:hideMark/>
          </w:tcPr>
          <w:p w14:paraId="3557AE6C"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C62602">
              <w:t>0</w:t>
            </w:r>
            <w:r>
              <w:t>.</w:t>
            </w:r>
            <w:r w:rsidRPr="00C62602">
              <w:t xml:space="preserve">01 </w:t>
            </w:r>
          </w:p>
        </w:tc>
      </w:tr>
      <w:tr w:rsidR="00BA1E77" w:rsidRPr="00C62602" w14:paraId="36CDE9FE" w14:textId="77777777" w:rsidTr="00C70998">
        <w:trPr>
          <w:trHeight w:val="133"/>
        </w:trPr>
        <w:tc>
          <w:tcPr>
            <w:cnfStyle w:val="001000000000" w:firstRow="0" w:lastRow="0" w:firstColumn="1" w:lastColumn="0" w:oddVBand="0" w:evenVBand="0" w:oddHBand="0" w:evenHBand="0" w:firstRowFirstColumn="0" w:firstRowLastColumn="0" w:lastRowFirstColumn="0" w:lastRowLastColumn="0"/>
            <w:tcW w:w="654" w:type="pct"/>
            <w:noWrap/>
            <w:vAlign w:val="center"/>
            <w:hideMark/>
          </w:tcPr>
          <w:p w14:paraId="30DB491F" w14:textId="77777777" w:rsidR="00BA1E77" w:rsidRPr="00C62602" w:rsidRDefault="00BA1E77" w:rsidP="00C70998">
            <w:pPr>
              <w:pStyle w:val="JRCTabletext9pt"/>
            </w:pPr>
            <w:r w:rsidRPr="00C62602">
              <w:t>Podgorica</w:t>
            </w:r>
          </w:p>
        </w:tc>
        <w:tc>
          <w:tcPr>
            <w:tcW w:w="658" w:type="pct"/>
            <w:noWrap/>
            <w:vAlign w:val="center"/>
            <w:hideMark/>
          </w:tcPr>
          <w:p w14:paraId="6790FF27"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C62602">
              <w:t>0</w:t>
            </w:r>
            <w:r>
              <w:t>.</w:t>
            </w:r>
            <w:r w:rsidRPr="00C62602">
              <w:t>13</w:t>
            </w:r>
          </w:p>
        </w:tc>
        <w:tc>
          <w:tcPr>
            <w:tcW w:w="304" w:type="pct"/>
            <w:noWrap/>
            <w:vAlign w:val="center"/>
            <w:hideMark/>
          </w:tcPr>
          <w:p w14:paraId="409973A7"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C62602">
              <w:t>2</w:t>
            </w:r>
            <w:r>
              <w:t>.</w:t>
            </w:r>
            <w:r w:rsidRPr="00C62602">
              <w:t xml:space="preserve">02 </w:t>
            </w:r>
          </w:p>
        </w:tc>
        <w:tc>
          <w:tcPr>
            <w:tcW w:w="369" w:type="pct"/>
            <w:noWrap/>
            <w:vAlign w:val="center"/>
            <w:hideMark/>
          </w:tcPr>
          <w:p w14:paraId="59F6AA81"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C62602">
              <w:t>0</w:t>
            </w:r>
            <w:r>
              <w:t>.</w:t>
            </w:r>
            <w:r w:rsidRPr="00C62602">
              <w:t xml:space="preserve">52 </w:t>
            </w:r>
          </w:p>
        </w:tc>
        <w:tc>
          <w:tcPr>
            <w:tcW w:w="458" w:type="pct"/>
            <w:noWrap/>
            <w:vAlign w:val="center"/>
            <w:hideMark/>
          </w:tcPr>
          <w:p w14:paraId="66F7F2B9"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p>
        </w:tc>
        <w:tc>
          <w:tcPr>
            <w:tcW w:w="648" w:type="pct"/>
            <w:noWrap/>
            <w:vAlign w:val="center"/>
            <w:hideMark/>
          </w:tcPr>
          <w:p w14:paraId="51279792"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C62602">
              <w:t>0</w:t>
            </w:r>
            <w:r>
              <w:t>.</w:t>
            </w:r>
            <w:r w:rsidRPr="00C62602">
              <w:t>02</w:t>
            </w:r>
          </w:p>
        </w:tc>
        <w:tc>
          <w:tcPr>
            <w:tcW w:w="771" w:type="pct"/>
            <w:noWrap/>
            <w:vAlign w:val="center"/>
            <w:hideMark/>
          </w:tcPr>
          <w:p w14:paraId="76EE993F"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C62602">
              <w:t>0</w:t>
            </w:r>
            <w:r>
              <w:t>.</w:t>
            </w:r>
            <w:r w:rsidRPr="00C62602">
              <w:t>08</w:t>
            </w:r>
          </w:p>
        </w:tc>
        <w:tc>
          <w:tcPr>
            <w:tcW w:w="771" w:type="pct"/>
            <w:noWrap/>
            <w:vAlign w:val="center"/>
            <w:hideMark/>
          </w:tcPr>
          <w:p w14:paraId="3A7A0497"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C62602">
              <w:t>0</w:t>
            </w:r>
            <w:r>
              <w:t>.</w:t>
            </w:r>
            <w:r w:rsidRPr="00C62602">
              <w:t>01</w:t>
            </w:r>
          </w:p>
        </w:tc>
        <w:tc>
          <w:tcPr>
            <w:tcW w:w="366" w:type="pct"/>
            <w:noWrap/>
            <w:vAlign w:val="center"/>
            <w:hideMark/>
          </w:tcPr>
          <w:p w14:paraId="760EF4B0"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C62602">
              <w:t>2</w:t>
            </w:r>
            <w:r>
              <w:t>.</w:t>
            </w:r>
            <w:r w:rsidRPr="00C62602">
              <w:t xml:space="preserve">78 </w:t>
            </w:r>
          </w:p>
        </w:tc>
      </w:tr>
      <w:tr w:rsidR="00BA1E77" w:rsidRPr="00C62602" w14:paraId="44C9FF7F" w14:textId="77777777" w:rsidTr="00C70998">
        <w:trPr>
          <w:trHeight w:val="66"/>
        </w:trPr>
        <w:tc>
          <w:tcPr>
            <w:cnfStyle w:val="001000000000" w:firstRow="0" w:lastRow="0" w:firstColumn="1" w:lastColumn="0" w:oddVBand="0" w:evenVBand="0" w:oddHBand="0" w:evenHBand="0" w:firstRowFirstColumn="0" w:firstRowLastColumn="0" w:lastRowFirstColumn="0" w:lastRowLastColumn="0"/>
            <w:tcW w:w="654" w:type="pct"/>
            <w:noWrap/>
            <w:vAlign w:val="center"/>
            <w:hideMark/>
          </w:tcPr>
          <w:p w14:paraId="1496780A" w14:textId="77777777" w:rsidR="00BA1E77" w:rsidRPr="00C62602" w:rsidRDefault="00BA1E77" w:rsidP="00C70998">
            <w:pPr>
              <w:pStyle w:val="JRCTabletext9pt"/>
            </w:pPr>
            <w:r w:rsidRPr="00C62602">
              <w:t>Tuzi</w:t>
            </w:r>
          </w:p>
        </w:tc>
        <w:tc>
          <w:tcPr>
            <w:tcW w:w="658" w:type="pct"/>
            <w:noWrap/>
            <w:vAlign w:val="center"/>
            <w:hideMark/>
          </w:tcPr>
          <w:p w14:paraId="6B87C509"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C62602">
              <w:t>0</w:t>
            </w:r>
            <w:r>
              <w:t>.</w:t>
            </w:r>
            <w:r w:rsidRPr="00C62602">
              <w:t>01</w:t>
            </w:r>
          </w:p>
        </w:tc>
        <w:tc>
          <w:tcPr>
            <w:tcW w:w="304" w:type="pct"/>
            <w:noWrap/>
            <w:vAlign w:val="center"/>
            <w:hideMark/>
          </w:tcPr>
          <w:p w14:paraId="529EED51"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p>
        </w:tc>
        <w:tc>
          <w:tcPr>
            <w:tcW w:w="369" w:type="pct"/>
            <w:noWrap/>
            <w:vAlign w:val="center"/>
            <w:hideMark/>
          </w:tcPr>
          <w:p w14:paraId="360330CA"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C62602">
              <w:t>0</w:t>
            </w:r>
            <w:r>
              <w:t>.</w:t>
            </w:r>
            <w:r w:rsidRPr="00C62602">
              <w:t>07</w:t>
            </w:r>
          </w:p>
        </w:tc>
        <w:tc>
          <w:tcPr>
            <w:tcW w:w="458" w:type="pct"/>
            <w:noWrap/>
            <w:vAlign w:val="center"/>
            <w:hideMark/>
          </w:tcPr>
          <w:p w14:paraId="33739298"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C62602">
              <w:t>0</w:t>
            </w:r>
            <w:r>
              <w:t>.</w:t>
            </w:r>
            <w:r w:rsidRPr="00C62602">
              <w:t>02</w:t>
            </w:r>
          </w:p>
        </w:tc>
        <w:tc>
          <w:tcPr>
            <w:tcW w:w="648" w:type="pct"/>
            <w:noWrap/>
            <w:vAlign w:val="center"/>
            <w:hideMark/>
          </w:tcPr>
          <w:p w14:paraId="73CBA98E"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p>
        </w:tc>
        <w:tc>
          <w:tcPr>
            <w:tcW w:w="771" w:type="pct"/>
            <w:noWrap/>
            <w:vAlign w:val="center"/>
            <w:hideMark/>
          </w:tcPr>
          <w:p w14:paraId="6734B2B5"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p>
        </w:tc>
        <w:tc>
          <w:tcPr>
            <w:tcW w:w="771" w:type="pct"/>
            <w:noWrap/>
            <w:vAlign w:val="center"/>
            <w:hideMark/>
          </w:tcPr>
          <w:p w14:paraId="6BB8A8FC"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p>
        </w:tc>
        <w:tc>
          <w:tcPr>
            <w:tcW w:w="366" w:type="pct"/>
            <w:noWrap/>
            <w:vAlign w:val="center"/>
            <w:hideMark/>
          </w:tcPr>
          <w:p w14:paraId="2637C695"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C62602">
              <w:t>0</w:t>
            </w:r>
            <w:r>
              <w:t>.10</w:t>
            </w:r>
          </w:p>
        </w:tc>
      </w:tr>
      <w:tr w:rsidR="00BA1E77" w:rsidRPr="00C62602" w14:paraId="2FAB0C2A" w14:textId="77777777" w:rsidTr="00C70998">
        <w:trPr>
          <w:trHeight w:val="58"/>
        </w:trPr>
        <w:tc>
          <w:tcPr>
            <w:cnfStyle w:val="001000000000" w:firstRow="0" w:lastRow="0" w:firstColumn="1" w:lastColumn="0" w:oddVBand="0" w:evenVBand="0" w:oddHBand="0" w:evenHBand="0" w:firstRowFirstColumn="0" w:firstRowLastColumn="0" w:lastRowFirstColumn="0" w:lastRowLastColumn="0"/>
            <w:tcW w:w="654" w:type="pct"/>
            <w:noWrap/>
            <w:vAlign w:val="center"/>
            <w:hideMark/>
          </w:tcPr>
          <w:p w14:paraId="145B7BEA" w14:textId="77777777" w:rsidR="00BA1E77" w:rsidRPr="00C62602" w:rsidRDefault="00BA1E77" w:rsidP="00C70998">
            <w:pPr>
              <w:pStyle w:val="JRCTabletext9pt"/>
            </w:pPr>
            <w:r w:rsidRPr="00C62602">
              <w:t>Zeta</w:t>
            </w:r>
          </w:p>
        </w:tc>
        <w:tc>
          <w:tcPr>
            <w:tcW w:w="658" w:type="pct"/>
            <w:noWrap/>
            <w:vAlign w:val="center"/>
            <w:hideMark/>
          </w:tcPr>
          <w:p w14:paraId="14AD6C25"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p>
        </w:tc>
        <w:tc>
          <w:tcPr>
            <w:tcW w:w="304" w:type="pct"/>
            <w:noWrap/>
            <w:vAlign w:val="center"/>
            <w:hideMark/>
          </w:tcPr>
          <w:p w14:paraId="5C1A7A64"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p>
        </w:tc>
        <w:tc>
          <w:tcPr>
            <w:tcW w:w="369" w:type="pct"/>
            <w:noWrap/>
            <w:vAlign w:val="center"/>
            <w:hideMark/>
          </w:tcPr>
          <w:p w14:paraId="7ED63BF2"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C62602">
              <w:t>0</w:t>
            </w:r>
            <w:r>
              <w:t>.</w:t>
            </w:r>
            <w:r w:rsidRPr="00C62602">
              <w:t xml:space="preserve">20 </w:t>
            </w:r>
          </w:p>
        </w:tc>
        <w:tc>
          <w:tcPr>
            <w:tcW w:w="458" w:type="pct"/>
            <w:noWrap/>
            <w:vAlign w:val="center"/>
            <w:hideMark/>
          </w:tcPr>
          <w:p w14:paraId="7BC6A926"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p>
        </w:tc>
        <w:tc>
          <w:tcPr>
            <w:tcW w:w="648" w:type="pct"/>
            <w:noWrap/>
            <w:vAlign w:val="center"/>
            <w:hideMark/>
          </w:tcPr>
          <w:p w14:paraId="0F5408EC"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p>
        </w:tc>
        <w:tc>
          <w:tcPr>
            <w:tcW w:w="771" w:type="pct"/>
            <w:noWrap/>
            <w:vAlign w:val="center"/>
            <w:hideMark/>
          </w:tcPr>
          <w:p w14:paraId="25E711CA"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p>
        </w:tc>
        <w:tc>
          <w:tcPr>
            <w:tcW w:w="771" w:type="pct"/>
            <w:noWrap/>
            <w:vAlign w:val="center"/>
            <w:hideMark/>
          </w:tcPr>
          <w:p w14:paraId="2CA233DF"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p>
        </w:tc>
        <w:tc>
          <w:tcPr>
            <w:tcW w:w="366" w:type="pct"/>
            <w:noWrap/>
            <w:vAlign w:val="center"/>
            <w:hideMark/>
          </w:tcPr>
          <w:p w14:paraId="65ACC268"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pPr>
            <w:r w:rsidRPr="00C62602">
              <w:t>0</w:t>
            </w:r>
            <w:r>
              <w:t>.</w:t>
            </w:r>
            <w:r w:rsidRPr="00C62602">
              <w:t>20</w:t>
            </w:r>
          </w:p>
        </w:tc>
      </w:tr>
      <w:tr w:rsidR="00BA1E77" w:rsidRPr="00C62602" w14:paraId="1775F1FC" w14:textId="77777777" w:rsidTr="00C70998">
        <w:trPr>
          <w:trHeight w:val="58"/>
        </w:trPr>
        <w:tc>
          <w:tcPr>
            <w:cnfStyle w:val="001000000000" w:firstRow="0" w:lastRow="0" w:firstColumn="1" w:lastColumn="0" w:oddVBand="0" w:evenVBand="0" w:oddHBand="0" w:evenHBand="0" w:firstRowFirstColumn="0" w:firstRowLastColumn="0" w:lastRowFirstColumn="0" w:lastRowLastColumn="0"/>
            <w:tcW w:w="654" w:type="pct"/>
            <w:noWrap/>
            <w:vAlign w:val="center"/>
            <w:hideMark/>
          </w:tcPr>
          <w:p w14:paraId="4FFE6ED0" w14:textId="77777777" w:rsidR="00BA1E77" w:rsidRPr="00C62602" w:rsidRDefault="00BA1E77" w:rsidP="00C70998">
            <w:pPr>
              <w:pStyle w:val="JRCTabletext9pt"/>
              <w:rPr>
                <w:b w:val="0"/>
                <w:bCs/>
              </w:rPr>
            </w:pPr>
            <w:r w:rsidRPr="00C62602">
              <w:rPr>
                <w:bCs/>
              </w:rPr>
              <w:t>Total</w:t>
            </w:r>
          </w:p>
        </w:tc>
        <w:tc>
          <w:tcPr>
            <w:tcW w:w="658" w:type="pct"/>
            <w:noWrap/>
            <w:vAlign w:val="center"/>
            <w:hideMark/>
          </w:tcPr>
          <w:p w14:paraId="6EEE0D4F"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rPr>
                <w:bCs/>
              </w:rPr>
            </w:pPr>
            <w:r w:rsidRPr="00C62602">
              <w:rPr>
                <w:bCs/>
              </w:rPr>
              <w:t>1</w:t>
            </w:r>
            <w:r>
              <w:rPr>
                <w:bCs/>
              </w:rPr>
              <w:t>.</w:t>
            </w:r>
            <w:r w:rsidRPr="00C62602">
              <w:rPr>
                <w:bCs/>
              </w:rPr>
              <w:t>7</w:t>
            </w:r>
            <w:r>
              <w:rPr>
                <w:bCs/>
              </w:rPr>
              <w:t>3</w:t>
            </w:r>
          </w:p>
        </w:tc>
        <w:tc>
          <w:tcPr>
            <w:tcW w:w="304" w:type="pct"/>
            <w:noWrap/>
            <w:vAlign w:val="center"/>
            <w:hideMark/>
          </w:tcPr>
          <w:p w14:paraId="3D81712E"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rPr>
                <w:bCs/>
              </w:rPr>
            </w:pPr>
            <w:r w:rsidRPr="00C62602">
              <w:rPr>
                <w:bCs/>
              </w:rPr>
              <w:t>2</w:t>
            </w:r>
            <w:r>
              <w:rPr>
                <w:bCs/>
              </w:rPr>
              <w:t>.</w:t>
            </w:r>
            <w:r w:rsidRPr="00C62602">
              <w:rPr>
                <w:bCs/>
              </w:rPr>
              <w:t>47</w:t>
            </w:r>
          </w:p>
        </w:tc>
        <w:tc>
          <w:tcPr>
            <w:tcW w:w="369" w:type="pct"/>
            <w:noWrap/>
            <w:vAlign w:val="center"/>
            <w:hideMark/>
          </w:tcPr>
          <w:p w14:paraId="29DFD7B1"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rPr>
                <w:bCs/>
              </w:rPr>
            </w:pPr>
            <w:r w:rsidRPr="00C62602">
              <w:rPr>
                <w:bCs/>
              </w:rPr>
              <w:t>1</w:t>
            </w:r>
            <w:r>
              <w:rPr>
                <w:bCs/>
              </w:rPr>
              <w:t>.</w:t>
            </w:r>
            <w:r w:rsidRPr="00C62602">
              <w:rPr>
                <w:bCs/>
              </w:rPr>
              <w:t>2</w:t>
            </w:r>
            <w:r>
              <w:rPr>
                <w:bCs/>
              </w:rPr>
              <w:t>4</w:t>
            </w:r>
            <w:r w:rsidRPr="00C62602">
              <w:rPr>
                <w:bCs/>
              </w:rPr>
              <w:t xml:space="preserve"> </w:t>
            </w:r>
          </w:p>
        </w:tc>
        <w:tc>
          <w:tcPr>
            <w:tcW w:w="458" w:type="pct"/>
            <w:noWrap/>
            <w:vAlign w:val="center"/>
            <w:hideMark/>
          </w:tcPr>
          <w:p w14:paraId="0B625CF2"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rPr>
                <w:bCs/>
              </w:rPr>
            </w:pPr>
            <w:r w:rsidRPr="00C62602">
              <w:rPr>
                <w:bCs/>
              </w:rPr>
              <w:t>0</w:t>
            </w:r>
            <w:r>
              <w:rPr>
                <w:bCs/>
              </w:rPr>
              <w:t>.</w:t>
            </w:r>
            <w:r w:rsidRPr="00C62602">
              <w:rPr>
                <w:bCs/>
              </w:rPr>
              <w:t>02</w:t>
            </w:r>
          </w:p>
        </w:tc>
        <w:tc>
          <w:tcPr>
            <w:tcW w:w="648" w:type="pct"/>
            <w:noWrap/>
            <w:vAlign w:val="center"/>
            <w:hideMark/>
          </w:tcPr>
          <w:p w14:paraId="579479DE"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rPr>
                <w:bCs/>
              </w:rPr>
            </w:pPr>
            <w:r w:rsidRPr="00C62602">
              <w:rPr>
                <w:bCs/>
              </w:rPr>
              <w:t>0</w:t>
            </w:r>
            <w:r>
              <w:rPr>
                <w:bCs/>
              </w:rPr>
              <w:t>.</w:t>
            </w:r>
            <w:r w:rsidRPr="00C62602">
              <w:rPr>
                <w:bCs/>
              </w:rPr>
              <w:t>02</w:t>
            </w:r>
          </w:p>
        </w:tc>
        <w:tc>
          <w:tcPr>
            <w:tcW w:w="771" w:type="pct"/>
            <w:noWrap/>
            <w:vAlign w:val="center"/>
            <w:hideMark/>
          </w:tcPr>
          <w:p w14:paraId="76141E33"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rPr>
                <w:bCs/>
              </w:rPr>
            </w:pPr>
            <w:r w:rsidRPr="00C62602">
              <w:rPr>
                <w:bCs/>
              </w:rPr>
              <w:t>0</w:t>
            </w:r>
            <w:r>
              <w:rPr>
                <w:bCs/>
              </w:rPr>
              <w:t>.</w:t>
            </w:r>
            <w:r w:rsidRPr="00C62602">
              <w:rPr>
                <w:bCs/>
              </w:rPr>
              <w:t>42</w:t>
            </w:r>
          </w:p>
        </w:tc>
        <w:tc>
          <w:tcPr>
            <w:tcW w:w="771" w:type="pct"/>
            <w:noWrap/>
            <w:vAlign w:val="center"/>
            <w:hideMark/>
          </w:tcPr>
          <w:p w14:paraId="7CD78196"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rPr>
                <w:bCs/>
              </w:rPr>
            </w:pPr>
            <w:r w:rsidRPr="00C62602">
              <w:rPr>
                <w:bCs/>
              </w:rPr>
              <w:t>0</w:t>
            </w:r>
            <w:r>
              <w:rPr>
                <w:bCs/>
              </w:rPr>
              <w:t>.</w:t>
            </w:r>
            <w:r w:rsidRPr="00C62602">
              <w:rPr>
                <w:bCs/>
              </w:rPr>
              <w:t>01</w:t>
            </w:r>
          </w:p>
        </w:tc>
        <w:tc>
          <w:tcPr>
            <w:tcW w:w="366" w:type="pct"/>
            <w:noWrap/>
            <w:vAlign w:val="center"/>
            <w:hideMark/>
          </w:tcPr>
          <w:p w14:paraId="72934975" w14:textId="77777777" w:rsidR="00BA1E77" w:rsidRPr="00C62602" w:rsidRDefault="00BA1E77" w:rsidP="00C70998">
            <w:pPr>
              <w:pStyle w:val="JRCTabletext9pt"/>
              <w:cnfStyle w:val="000000000000" w:firstRow="0" w:lastRow="0" w:firstColumn="0" w:lastColumn="0" w:oddVBand="0" w:evenVBand="0" w:oddHBand="0" w:evenHBand="0" w:firstRowFirstColumn="0" w:firstRowLastColumn="0" w:lastRowFirstColumn="0" w:lastRowLastColumn="0"/>
              <w:rPr>
                <w:bCs/>
              </w:rPr>
            </w:pPr>
            <w:r w:rsidRPr="00C62602">
              <w:rPr>
                <w:bCs/>
              </w:rPr>
              <w:t>5</w:t>
            </w:r>
            <w:r>
              <w:rPr>
                <w:bCs/>
              </w:rPr>
              <w:t>.</w:t>
            </w:r>
            <w:r w:rsidRPr="00C62602">
              <w:rPr>
                <w:bCs/>
              </w:rPr>
              <w:t>91</w:t>
            </w:r>
          </w:p>
        </w:tc>
      </w:tr>
    </w:tbl>
    <w:p w14:paraId="22D11A5A" w14:textId="77777777" w:rsidR="00BA1E77" w:rsidRDefault="00BA1E77" w:rsidP="00BA1E77">
      <w:pPr>
        <w:pStyle w:val="JRCTablesource"/>
      </w:pPr>
      <w:r w:rsidRPr="00601B13">
        <w:rPr>
          <w:b/>
          <w:bCs/>
        </w:rPr>
        <w:t>Source:</w:t>
      </w:r>
      <w:r w:rsidRPr="00601B13">
        <w:t xml:space="preserve"> Innovation Fund of Montenegro</w:t>
      </w:r>
    </w:p>
    <w:p w14:paraId="4FA9BE8E" w14:textId="77777777" w:rsidR="00BA1E77" w:rsidRDefault="00BA1E77" w:rsidP="00BA1E77">
      <w:pPr>
        <w:pStyle w:val="JRCText"/>
        <w:rPr>
          <w:lang w:eastAsia="en-GB"/>
        </w:rPr>
      </w:pPr>
    </w:p>
    <w:p w14:paraId="29623656" w14:textId="77777777" w:rsidR="00BA1E77" w:rsidRDefault="00BA1E77" w:rsidP="00BA1E77">
      <w:pPr>
        <w:pStyle w:val="JRCText"/>
        <w:rPr>
          <w:lang w:eastAsia="en-GB"/>
        </w:rPr>
      </w:pPr>
    </w:p>
    <w:p w14:paraId="5CD41844" w14:textId="77777777" w:rsidR="00BA1E77" w:rsidRDefault="00BA1E77" w:rsidP="00BA1E77">
      <w:pPr>
        <w:pStyle w:val="JRCText"/>
        <w:rPr>
          <w:lang w:eastAsia="en-GB"/>
        </w:rPr>
        <w:sectPr w:rsidR="00BA1E77">
          <w:pgSz w:w="11906" w:h="16838"/>
          <w:pgMar w:top="1440" w:right="1440" w:bottom="1440" w:left="1440" w:header="708" w:footer="708" w:gutter="0"/>
          <w:cols w:space="708"/>
          <w:docGrid w:linePitch="360"/>
        </w:sectPr>
      </w:pPr>
    </w:p>
    <w:p w14:paraId="4AECC550" w14:textId="77777777" w:rsidR="00BA1E77" w:rsidRPr="00BA1E77" w:rsidRDefault="00BA1E77" w:rsidP="00BA1E77">
      <w:pPr>
        <w:pStyle w:val="JRCLevel-1title"/>
        <w:rPr>
          <w:rFonts w:eastAsia="Calibri"/>
          <w:b/>
          <w:bCs/>
        </w:rPr>
      </w:pPr>
      <w:bookmarkStart w:id="106" w:name="_Toc221016439"/>
      <w:r w:rsidRPr="00BA1E77">
        <w:rPr>
          <w:rFonts w:eastAsia="Calibri"/>
          <w:b/>
          <w:bCs/>
        </w:rPr>
        <w:lastRenderedPageBreak/>
        <w:t>Main results from quantitative mapping</w:t>
      </w:r>
      <w:bookmarkEnd w:id="106"/>
      <w:r w:rsidRPr="00BA1E77">
        <w:rPr>
          <w:rFonts w:eastAsia="Calibri"/>
          <w:b/>
          <w:bCs/>
        </w:rPr>
        <w:t xml:space="preserve"> </w:t>
      </w:r>
    </w:p>
    <w:p w14:paraId="785A6700" w14:textId="77777777" w:rsidR="00BA1E77" w:rsidRPr="00DB00D1" w:rsidRDefault="00BA1E77" w:rsidP="00BA1E77">
      <w:pPr>
        <w:pStyle w:val="JRCText"/>
      </w:pPr>
      <w:r w:rsidRPr="00DB00D1">
        <w:t xml:space="preserve">The previous sections presented the findings from the analysis of the economic, scientific, and innovation potential for Smart Specialisation in Montenegro. Overall, the availability of data varied across the three potentials. </w:t>
      </w:r>
      <w:r>
        <w:t>D</w:t>
      </w:r>
      <w:r w:rsidRPr="00DB00D1">
        <w:t>ata w</w:t>
      </w:r>
      <w:r>
        <w:t>as mainly</w:t>
      </w:r>
      <w:r w:rsidRPr="00DB00D1">
        <w:t xml:space="preserve"> obtained from national sources (such as </w:t>
      </w:r>
      <w:proofErr w:type="spellStart"/>
      <w:r w:rsidRPr="00DB00D1">
        <w:t>Monstat</w:t>
      </w:r>
      <w:proofErr w:type="spellEnd"/>
      <w:r w:rsidRPr="00DB00D1">
        <w:t>), while other</w:t>
      </w:r>
      <w:r>
        <w:t xml:space="preserve"> </w:t>
      </w:r>
      <w:r w:rsidRPr="00DB00D1">
        <w:t>source</w:t>
      </w:r>
      <w:r>
        <w:t>s were</w:t>
      </w:r>
      <w:r w:rsidRPr="00DB00D1">
        <w:t xml:space="preserve"> from international organisations (including EUROSTAT, EPO, and the World Bank), as well as from various public and private sources (like ISI WOS and ORBIS). Additionally, both the unit of analysis and classifications differed not only between the potentials but also within the same potential.</w:t>
      </w:r>
    </w:p>
    <w:p w14:paraId="3F2E5C24" w14:textId="77777777" w:rsidR="00BA1E77" w:rsidRPr="00DB00D1" w:rsidRDefault="00BA1E77" w:rsidP="00BA1E77">
      <w:pPr>
        <w:pStyle w:val="JRCText"/>
      </w:pPr>
      <w:r w:rsidRPr="00DB00D1">
        <w:t>For economic potential, data on employment and new ventures were available at the NACE 2-digit level, whereas exports were classified using HS codes at the 2 to 4-digit level. In terms of scientific potential, the data were categorised by scientific field (as per ISI-</w:t>
      </w:r>
      <w:proofErr w:type="spellStart"/>
      <w:r w:rsidRPr="00DB00D1">
        <w:t>WoS</w:t>
      </w:r>
      <w:proofErr w:type="spellEnd"/>
      <w:r w:rsidRPr="00DB00D1">
        <w:t xml:space="preserve"> standards). Lastly, while some data pertaining to digitalisation was accessible at the NACE 3-digit level, information regarding innovation projects could be found at either the NACE 1 or 2-digit level.</w:t>
      </w:r>
    </w:p>
    <w:p w14:paraId="7091B5B4" w14:textId="77777777" w:rsidR="00BA1E77" w:rsidRPr="00DB00D1" w:rsidRDefault="00BA1E77" w:rsidP="00BA1E77">
      <w:pPr>
        <w:pStyle w:val="JRCText"/>
        <w:rPr>
          <w:lang w:val="en-IE"/>
        </w:rPr>
      </w:pPr>
      <w:r w:rsidRPr="00DB00D1">
        <w:rPr>
          <w:lang w:val="en-IE"/>
        </w:rPr>
        <w:t>Despite the economic potential identified, the achievement of a full alignment between scientific and innovative capabilities in the 10 industries aligned with stricter thresholds and the 19 industries aligned with broader thresholds remains highly complex. This difficulty arises from various factors, including the diversity of data types, disparities in data availability and coverage, as well as differences in classifications (for instance, in scientific mapping, the unit of analysis is the field of science rather than the industry). Nevertheless, a match between Economic, Scientific, and Innovative potential has been identified in the following five sectors: Construction, Energy, Food, ICT and Tourism.</w:t>
      </w:r>
      <w:r>
        <w:rPr>
          <w:rStyle w:val="FootnoteReference"/>
        </w:rPr>
        <w:footnoteReference w:id="8"/>
      </w:r>
    </w:p>
    <w:p w14:paraId="20F4B86C" w14:textId="77777777" w:rsidR="00BA1E77" w:rsidRDefault="00BA1E77" w:rsidP="00BA1E77">
      <w:pPr>
        <w:pStyle w:val="JRCText"/>
        <w:rPr>
          <w:lang w:val="en-IE"/>
        </w:rPr>
      </w:pPr>
      <w:r w:rsidRPr="00DB00D1">
        <w:rPr>
          <w:lang w:val="en-IE"/>
        </w:rPr>
        <w:t xml:space="preserve">A separate reflection is needed for the </w:t>
      </w:r>
      <w:r w:rsidRPr="00DB00D1">
        <w:rPr>
          <w:i/>
          <w:iCs/>
          <w:lang w:val="en-IE"/>
        </w:rPr>
        <w:t>Management Consultancy</w:t>
      </w:r>
      <w:r w:rsidRPr="00DB00D1">
        <w:rPr>
          <w:lang w:val="en-IE"/>
        </w:rPr>
        <w:t xml:space="preserve"> and </w:t>
      </w:r>
      <w:r w:rsidRPr="00DB00D1">
        <w:rPr>
          <w:i/>
          <w:iCs/>
          <w:lang w:val="en-IE"/>
        </w:rPr>
        <w:t>Wholesale</w:t>
      </w:r>
      <w:r w:rsidRPr="00DB00D1">
        <w:rPr>
          <w:lang w:val="en-IE"/>
        </w:rPr>
        <w:t xml:space="preserve"> sectors, both of which demonstrate strong economic indicators. Management Consultancy (M702) stands out for its high volume of new ventures and dynamic digitalization, while Non-specialised Wholesale (G469) exhibits significant critical mass and one of the highest specialization levels relative to the EU-27. </w:t>
      </w:r>
      <w:r>
        <w:rPr>
          <w:lang w:val="en-IE"/>
        </w:rPr>
        <w:t>D</w:t>
      </w:r>
      <w:r w:rsidRPr="00DB00D1">
        <w:rPr>
          <w:lang w:val="en-IE"/>
        </w:rPr>
        <w:t>espite these promising signals, both sectors show low level of scientific and innovation potential. In the case of Consultancy, the</w:t>
      </w:r>
      <w:r>
        <w:rPr>
          <w:rFonts w:ascii="Calibri" w:hAnsi="Calibri" w:cs="Calibri"/>
          <w:lang w:val="en-IE"/>
        </w:rPr>
        <w:t> </w:t>
      </w:r>
      <w:r w:rsidRPr="00DB00D1">
        <w:rPr>
          <w:lang w:val="en-IE"/>
        </w:rPr>
        <w:t xml:space="preserve">high entrepreneurial activity does not translate into R&amp;D collaborations or knowledge-based growth. Similarly, while the Wholesale sector is strong in terms of sales and market presence, its role is primarily intermediary, lacking the innovative depth required to drive a research-led economic transformation. Ultimately, because these sectors fail to align across all three pillars </w:t>
      </w:r>
      <w:r>
        <w:rPr>
          <w:lang w:val="en-IE"/>
        </w:rPr>
        <w:t xml:space="preserve">of the JRC methodology </w:t>
      </w:r>
      <w:r w:rsidRPr="00DB00D1">
        <w:rPr>
          <w:lang w:val="en-IE"/>
        </w:rPr>
        <w:t xml:space="preserve">- economic, scientific, and innovative </w:t>
      </w:r>
      <w:r>
        <w:rPr>
          <w:lang w:val="en-IE"/>
        </w:rPr>
        <w:t xml:space="preserve">potential </w:t>
      </w:r>
      <w:r w:rsidRPr="00DB00D1">
        <w:rPr>
          <w:lang w:val="en-IE"/>
        </w:rPr>
        <w:t xml:space="preserve">- they have not been identified as preliminary target </w:t>
      </w:r>
      <w:r w:rsidRPr="00DB00D1">
        <w:rPr>
          <w:lang w:val="en-IE"/>
        </w:rPr>
        <w:lastRenderedPageBreak/>
        <w:t>domains, though</w:t>
      </w:r>
      <w:r>
        <w:rPr>
          <w:rFonts w:ascii="Calibri" w:hAnsi="Calibri" w:cs="Calibri"/>
          <w:lang w:val="en-IE"/>
        </w:rPr>
        <w:t> </w:t>
      </w:r>
      <w:r w:rsidRPr="00DB00D1">
        <w:rPr>
          <w:lang w:val="en-IE"/>
        </w:rPr>
        <w:t>further qualitative insights could be used to re-evaluate this position and investigate deeper innovation synergies</w:t>
      </w:r>
    </w:p>
    <w:p w14:paraId="6753CECA" w14:textId="77777777" w:rsidR="00BA1E77" w:rsidRPr="00DB00D1" w:rsidRDefault="00BA1E77" w:rsidP="00BA1E77">
      <w:pPr>
        <w:pStyle w:val="JRCText"/>
        <w:rPr>
          <w:lang w:val="en-IE"/>
        </w:rPr>
      </w:pPr>
      <w:r>
        <w:rPr>
          <w:lang w:val="en-IE"/>
        </w:rPr>
        <w:t xml:space="preserve">Given the main analytical results, </w:t>
      </w:r>
      <w:r w:rsidRPr="00DB00D1">
        <w:rPr>
          <w:lang w:val="en-IE"/>
        </w:rPr>
        <w:t xml:space="preserve">a summary of the key characteristics </w:t>
      </w:r>
      <w:r>
        <w:rPr>
          <w:lang w:val="en-IE"/>
        </w:rPr>
        <w:t>of the above mentioned five sectors follow.</w:t>
      </w:r>
      <w:r w:rsidRPr="00DB00D1">
        <w:rPr>
          <w:lang w:val="en-IE"/>
        </w:rPr>
        <w:t xml:space="preserve"> </w:t>
      </w:r>
      <w:r>
        <w:rPr>
          <w:lang w:val="en-IE"/>
        </w:rPr>
        <w:t xml:space="preserve">In line with the JRC methodology, findings from quantitative mapping only </w:t>
      </w:r>
      <w:r w:rsidRPr="00DB00D1">
        <w:rPr>
          <w:lang w:val="en-IE"/>
        </w:rPr>
        <w:t xml:space="preserve">serves as </w:t>
      </w:r>
      <w:r>
        <w:rPr>
          <w:lang w:val="en-IE"/>
        </w:rPr>
        <w:t xml:space="preserve">initial </w:t>
      </w:r>
      <w:r w:rsidRPr="00DB00D1">
        <w:rPr>
          <w:lang w:val="en-IE"/>
        </w:rPr>
        <w:t xml:space="preserve">filtering exercise </w:t>
      </w:r>
      <w:r>
        <w:rPr>
          <w:lang w:val="en-IE"/>
        </w:rPr>
        <w:t xml:space="preserve">to be </w:t>
      </w:r>
      <w:r w:rsidRPr="00DB00D1">
        <w:rPr>
          <w:lang w:val="en-IE"/>
        </w:rPr>
        <w:t xml:space="preserve">further complemented and validated </w:t>
      </w:r>
      <w:r>
        <w:rPr>
          <w:lang w:val="en-IE"/>
        </w:rPr>
        <w:t xml:space="preserve">with </w:t>
      </w:r>
      <w:r w:rsidRPr="00DB00D1">
        <w:rPr>
          <w:lang w:val="en-IE"/>
        </w:rPr>
        <w:t>subsequent qualitative analyses</w:t>
      </w:r>
      <w:r>
        <w:rPr>
          <w:lang w:val="en-IE"/>
        </w:rPr>
        <w:t xml:space="preserve"> and stakeholder dialogue</w:t>
      </w:r>
      <w:r w:rsidRPr="00DB00D1">
        <w:rPr>
          <w:lang w:val="en-IE"/>
        </w:rPr>
        <w:t xml:space="preserve">. These </w:t>
      </w:r>
      <w:r>
        <w:rPr>
          <w:lang w:val="en-IE"/>
        </w:rPr>
        <w:t xml:space="preserve">activities </w:t>
      </w:r>
      <w:r w:rsidRPr="00DB00D1">
        <w:rPr>
          <w:lang w:val="en-IE"/>
        </w:rPr>
        <w:t xml:space="preserve">will delve into deeper </w:t>
      </w:r>
      <w:r>
        <w:rPr>
          <w:lang w:val="en-IE"/>
        </w:rPr>
        <w:t xml:space="preserve">qualitative </w:t>
      </w:r>
      <w:r w:rsidRPr="00DB00D1">
        <w:rPr>
          <w:lang w:val="en-IE"/>
        </w:rPr>
        <w:t xml:space="preserve">perspectives and </w:t>
      </w:r>
      <w:r>
        <w:rPr>
          <w:lang w:val="en-IE"/>
        </w:rPr>
        <w:t>inform decision-making, priority selection and strategy design</w:t>
      </w:r>
      <w:r w:rsidRPr="00DB00D1">
        <w:rPr>
          <w:lang w:val="en-IE"/>
        </w:rPr>
        <w:t>.</w:t>
      </w:r>
    </w:p>
    <w:p w14:paraId="15310722" w14:textId="77777777" w:rsidR="00BA1E77" w:rsidRPr="002C5FE0" w:rsidRDefault="00BA1E77" w:rsidP="00BA1E77">
      <w:pPr>
        <w:pStyle w:val="JRCText"/>
        <w:numPr>
          <w:ilvl w:val="0"/>
          <w:numId w:val="27"/>
        </w:numPr>
        <w:rPr>
          <w:lang w:val="en-IE"/>
        </w:rPr>
      </w:pPr>
      <w:r w:rsidRPr="00DB00D1">
        <w:rPr>
          <w:b/>
          <w:bCs/>
          <w:lang w:val="en-IE"/>
        </w:rPr>
        <w:t>Construction</w:t>
      </w:r>
      <w:r w:rsidRPr="00DB00D1">
        <w:rPr>
          <w:lang w:val="en-IE"/>
        </w:rPr>
        <w:t xml:space="preserve">, represented by the 2-digit industrial sector </w:t>
      </w:r>
      <w:r w:rsidRPr="00DB00D1">
        <w:rPr>
          <w:i/>
          <w:lang w:val="en-IE"/>
        </w:rPr>
        <w:t xml:space="preserve">F41 </w:t>
      </w:r>
      <w:r>
        <w:rPr>
          <w:i/>
          <w:lang w:val="en-IE"/>
        </w:rPr>
        <w:t>–</w:t>
      </w:r>
      <w:r w:rsidRPr="00DB00D1">
        <w:rPr>
          <w:i/>
          <w:lang w:val="en-IE"/>
        </w:rPr>
        <w:t xml:space="preserve"> Construction of buildings </w:t>
      </w:r>
      <w:r w:rsidRPr="00DB00D1">
        <w:rPr>
          <w:iCs/>
          <w:lang w:val="en-IE"/>
        </w:rPr>
        <w:t>and</w:t>
      </w:r>
      <w:r w:rsidRPr="00DB00D1">
        <w:rPr>
          <w:i/>
          <w:lang w:val="en-IE"/>
        </w:rPr>
        <w:t xml:space="preserve"> M71 </w:t>
      </w:r>
      <w:r>
        <w:rPr>
          <w:i/>
          <w:lang w:val="en-IE"/>
        </w:rPr>
        <w:t>–</w:t>
      </w:r>
      <w:r w:rsidRPr="00DB00D1">
        <w:rPr>
          <w:i/>
          <w:lang w:val="en-IE"/>
        </w:rPr>
        <w:t xml:space="preserve"> Architectural and engineering activities; technical testing and analysis. </w:t>
      </w:r>
      <w:r w:rsidRPr="00DB00D1">
        <w:rPr>
          <w:lang w:val="en-IE"/>
        </w:rPr>
        <w:t xml:space="preserve">Within this area, the 3-digit most relevant industries are </w:t>
      </w:r>
      <w:r w:rsidRPr="00DB00D1">
        <w:rPr>
          <w:i/>
          <w:lang w:val="en-IE"/>
        </w:rPr>
        <w:t xml:space="preserve">412 </w:t>
      </w:r>
      <w:r>
        <w:rPr>
          <w:i/>
          <w:lang w:val="en-IE"/>
        </w:rPr>
        <w:t>–</w:t>
      </w:r>
      <w:r w:rsidRPr="00DB00D1">
        <w:rPr>
          <w:i/>
          <w:lang w:val="en-IE"/>
        </w:rPr>
        <w:t xml:space="preserve"> Construction of residential and non-residential</w:t>
      </w:r>
      <w:r w:rsidRPr="00DB00D1">
        <w:rPr>
          <w:i/>
          <w:spacing w:val="25"/>
          <w:lang w:val="en-IE"/>
        </w:rPr>
        <w:t xml:space="preserve"> </w:t>
      </w:r>
      <w:r w:rsidRPr="00DB00D1">
        <w:rPr>
          <w:i/>
          <w:lang w:val="en-IE"/>
        </w:rPr>
        <w:t>buildings</w:t>
      </w:r>
      <w:r w:rsidRPr="00DB00D1">
        <w:rPr>
          <w:iCs/>
          <w:lang w:val="en-IE"/>
        </w:rPr>
        <w:t xml:space="preserve"> and</w:t>
      </w:r>
      <w:r w:rsidRPr="00DB00D1">
        <w:rPr>
          <w:i/>
          <w:spacing w:val="25"/>
          <w:lang w:val="en-IE"/>
        </w:rPr>
        <w:t xml:space="preserve"> </w:t>
      </w:r>
      <w:r w:rsidRPr="00DB00D1">
        <w:rPr>
          <w:i/>
          <w:iCs/>
          <w:lang w:val="en-IE"/>
        </w:rPr>
        <w:t xml:space="preserve">711 </w:t>
      </w:r>
      <w:r>
        <w:rPr>
          <w:i/>
          <w:iCs/>
          <w:lang w:val="en-IE"/>
        </w:rPr>
        <w:t>–</w:t>
      </w:r>
      <w:r w:rsidRPr="00DB00D1">
        <w:rPr>
          <w:i/>
          <w:iCs/>
          <w:lang w:val="en-IE"/>
        </w:rPr>
        <w:t xml:space="preserve"> Architectural and engineering activities and related technical consultancy</w:t>
      </w:r>
      <w:r w:rsidRPr="00DB00D1">
        <w:rPr>
          <w:lang w:val="en-IE"/>
        </w:rPr>
        <w:t>. The first one emerged following the strictest thresholds regarding the economic potential and is</w:t>
      </w:r>
      <w:r w:rsidRPr="00DB00D1">
        <w:rPr>
          <w:spacing w:val="25"/>
          <w:lang w:val="en-IE"/>
        </w:rPr>
        <w:t xml:space="preserve"> </w:t>
      </w:r>
      <w:r w:rsidRPr="00DB00D1">
        <w:rPr>
          <w:lang w:val="en-IE"/>
        </w:rPr>
        <w:t>one</w:t>
      </w:r>
      <w:r w:rsidRPr="00DB00D1">
        <w:rPr>
          <w:spacing w:val="24"/>
          <w:lang w:val="en-IE"/>
        </w:rPr>
        <w:t xml:space="preserve"> </w:t>
      </w:r>
      <w:r w:rsidRPr="00DB00D1">
        <w:rPr>
          <w:lang w:val="en-IE"/>
        </w:rPr>
        <w:t>of</w:t>
      </w:r>
      <w:r w:rsidRPr="00DB00D1">
        <w:rPr>
          <w:spacing w:val="25"/>
          <w:lang w:val="en-IE"/>
        </w:rPr>
        <w:t xml:space="preserve"> </w:t>
      </w:r>
      <w:r w:rsidRPr="00DB00D1">
        <w:rPr>
          <w:lang w:val="en-IE"/>
        </w:rPr>
        <w:t>the</w:t>
      </w:r>
      <w:r w:rsidRPr="00DB00D1">
        <w:rPr>
          <w:spacing w:val="24"/>
          <w:lang w:val="en-IE"/>
        </w:rPr>
        <w:t xml:space="preserve"> </w:t>
      </w:r>
      <w:r w:rsidRPr="00DB00D1">
        <w:rPr>
          <w:lang w:val="en-IE"/>
        </w:rPr>
        <w:t>most</w:t>
      </w:r>
      <w:r w:rsidRPr="00DB00D1">
        <w:rPr>
          <w:spacing w:val="25"/>
          <w:lang w:val="en-IE"/>
        </w:rPr>
        <w:t xml:space="preserve"> </w:t>
      </w:r>
      <w:r w:rsidRPr="00DB00D1">
        <w:rPr>
          <w:lang w:val="en-IE"/>
        </w:rPr>
        <w:t>dynamic</w:t>
      </w:r>
      <w:r w:rsidRPr="00DB00D1">
        <w:rPr>
          <w:spacing w:val="24"/>
          <w:lang w:val="en-IE"/>
        </w:rPr>
        <w:t xml:space="preserve"> </w:t>
      </w:r>
      <w:r w:rsidRPr="00DB00D1">
        <w:rPr>
          <w:lang w:val="en-IE"/>
        </w:rPr>
        <w:t>sectors</w:t>
      </w:r>
      <w:r w:rsidRPr="00DB00D1">
        <w:rPr>
          <w:spacing w:val="25"/>
          <w:lang w:val="en-IE"/>
        </w:rPr>
        <w:t xml:space="preserve"> </w:t>
      </w:r>
      <w:r w:rsidRPr="00DB00D1">
        <w:rPr>
          <w:lang w:val="en-IE"/>
        </w:rPr>
        <w:t>in</w:t>
      </w:r>
      <w:r w:rsidRPr="00DB00D1">
        <w:rPr>
          <w:spacing w:val="25"/>
          <w:lang w:val="en-IE"/>
        </w:rPr>
        <w:t xml:space="preserve"> </w:t>
      </w:r>
      <w:r w:rsidRPr="00DB00D1">
        <w:rPr>
          <w:lang w:val="en-IE"/>
        </w:rPr>
        <w:t>terms</w:t>
      </w:r>
      <w:r w:rsidRPr="00DB00D1">
        <w:rPr>
          <w:spacing w:val="25"/>
          <w:lang w:val="en-IE"/>
        </w:rPr>
        <w:t xml:space="preserve"> </w:t>
      </w:r>
      <w:r w:rsidRPr="00DB00D1">
        <w:rPr>
          <w:lang w:val="en-IE"/>
        </w:rPr>
        <w:t>of</w:t>
      </w:r>
      <w:r w:rsidRPr="00DB00D1">
        <w:rPr>
          <w:spacing w:val="24"/>
          <w:lang w:val="en-IE"/>
        </w:rPr>
        <w:t xml:space="preserve"> </w:t>
      </w:r>
      <w:r w:rsidRPr="00DB00D1">
        <w:rPr>
          <w:lang w:val="en-IE"/>
        </w:rPr>
        <w:t>new</w:t>
      </w:r>
      <w:r w:rsidRPr="00DB00D1">
        <w:rPr>
          <w:spacing w:val="26"/>
          <w:lang w:val="en-IE"/>
        </w:rPr>
        <w:t xml:space="preserve"> </w:t>
      </w:r>
      <w:r w:rsidRPr="00DB00D1">
        <w:rPr>
          <w:spacing w:val="-2"/>
          <w:lang w:val="en-IE"/>
        </w:rPr>
        <w:t xml:space="preserve">firms’ </w:t>
      </w:r>
      <w:r w:rsidRPr="00DB00D1">
        <w:rPr>
          <w:lang w:val="en-IE"/>
        </w:rPr>
        <w:t xml:space="preserve">births, sales and level of digitalisation. </w:t>
      </w:r>
      <w:r w:rsidRPr="002C5FE0">
        <w:rPr>
          <w:lang w:val="en-IE"/>
        </w:rPr>
        <w:t>While the second exceed critical mass and specialisation thresholds, demonstrating also a high volume of new ventures and digitalisation. Furthermore, it represents one of the most pertinent scientific fields within the country—engineering—marked by a substantial number of publications and a notable level of specialisation compared to the broader Western Balkans region. Finally, both these sectors present, two of the few companies that hold a patent.</w:t>
      </w:r>
    </w:p>
    <w:p w14:paraId="14EB5E79" w14:textId="77777777" w:rsidR="00BA1E77" w:rsidRPr="00DB00D1" w:rsidRDefault="00BA1E77" w:rsidP="00BA1E77">
      <w:pPr>
        <w:pStyle w:val="JRCText"/>
        <w:numPr>
          <w:ilvl w:val="0"/>
          <w:numId w:val="27"/>
        </w:numPr>
        <w:rPr>
          <w:lang w:val="en-IE"/>
        </w:rPr>
      </w:pPr>
      <w:r w:rsidRPr="00DB00D1">
        <w:rPr>
          <w:b/>
          <w:bCs/>
          <w:lang w:val="en-IE"/>
        </w:rPr>
        <w:t>Energy</w:t>
      </w:r>
      <w:r w:rsidRPr="00DB00D1">
        <w:rPr>
          <w:lang w:val="en-IE"/>
        </w:rPr>
        <w:t xml:space="preserve"> is represented by the 2-digit industrial sector </w:t>
      </w:r>
      <w:r w:rsidRPr="00DB00D1">
        <w:rPr>
          <w:i/>
          <w:iCs/>
          <w:lang w:val="en-IE"/>
        </w:rPr>
        <w:t xml:space="preserve">D35 </w:t>
      </w:r>
      <w:r>
        <w:rPr>
          <w:i/>
          <w:iCs/>
          <w:lang w:val="en-IE"/>
        </w:rPr>
        <w:t>–</w:t>
      </w:r>
      <w:r w:rsidRPr="00DB00D1">
        <w:rPr>
          <w:i/>
          <w:iCs/>
          <w:lang w:val="en-IE"/>
        </w:rPr>
        <w:t xml:space="preserve"> Electricity, gas, steam and air conditioning supply</w:t>
      </w:r>
      <w:r w:rsidRPr="00DB00D1">
        <w:rPr>
          <w:lang w:val="en-IE"/>
        </w:rPr>
        <w:t xml:space="preserve">. Within the sector, the 3-digit most relevant sector is </w:t>
      </w:r>
      <w:r w:rsidRPr="00DB00D1">
        <w:rPr>
          <w:i/>
          <w:iCs/>
          <w:lang w:val="en-IE"/>
        </w:rPr>
        <w:t xml:space="preserve">351 </w:t>
      </w:r>
      <w:r>
        <w:rPr>
          <w:i/>
          <w:iCs/>
          <w:lang w:val="en-IE"/>
        </w:rPr>
        <w:t>–</w:t>
      </w:r>
      <w:r w:rsidRPr="00DB00D1">
        <w:rPr>
          <w:i/>
          <w:iCs/>
          <w:lang w:val="en-IE"/>
        </w:rPr>
        <w:t xml:space="preserve"> Electric power generation, transmission and distribution, w</w:t>
      </w:r>
      <w:r w:rsidRPr="00DB00D1">
        <w:rPr>
          <w:lang w:val="en-IE"/>
        </w:rPr>
        <w:t>hich emerged following the strictest thresholds, showing a relative specialisation with respect to EU-27 and a good critical mass. In addition, it appeared as one of the</w:t>
      </w:r>
      <w:r>
        <w:rPr>
          <w:rFonts w:ascii="Calibri" w:hAnsi="Calibri" w:cs="Calibri"/>
          <w:lang w:val="en-IE"/>
        </w:rPr>
        <w:t> </w:t>
      </w:r>
      <w:r w:rsidRPr="00DB00D1">
        <w:rPr>
          <w:lang w:val="en-IE"/>
        </w:rPr>
        <w:t>10</w:t>
      </w:r>
      <w:r>
        <w:rPr>
          <w:rFonts w:ascii="Calibri" w:hAnsi="Calibri" w:cs="Calibri"/>
          <w:lang w:val="en-IE"/>
        </w:rPr>
        <w:t> </w:t>
      </w:r>
      <w:r w:rsidRPr="00DB00D1">
        <w:rPr>
          <w:lang w:val="en-IE"/>
        </w:rPr>
        <w:t xml:space="preserve">sectors with the highest sales in the country and it is included with the label </w:t>
      </w:r>
      <w:r w:rsidRPr="00DB00D1">
        <w:rPr>
          <w:i/>
          <w:iCs/>
          <w:lang w:val="en-IE"/>
        </w:rPr>
        <w:t>Energy and sustainable development</w:t>
      </w:r>
      <w:r w:rsidRPr="00DB00D1">
        <w:rPr>
          <w:lang w:val="en-IE"/>
        </w:rPr>
        <w:t xml:space="preserve"> among the most financed S3 priorities.</w:t>
      </w:r>
    </w:p>
    <w:p w14:paraId="24940780" w14:textId="77777777" w:rsidR="00BA1E77" w:rsidRPr="00DB00D1" w:rsidRDefault="00BA1E77" w:rsidP="00BA1E77">
      <w:pPr>
        <w:pStyle w:val="JRCText"/>
        <w:numPr>
          <w:ilvl w:val="0"/>
          <w:numId w:val="27"/>
        </w:numPr>
        <w:rPr>
          <w:lang w:val="en-IE"/>
        </w:rPr>
      </w:pPr>
      <w:r w:rsidRPr="00DB00D1">
        <w:rPr>
          <w:b/>
          <w:bCs/>
          <w:lang w:val="en-IE"/>
        </w:rPr>
        <w:t>Food</w:t>
      </w:r>
      <w:r w:rsidRPr="00DB00D1">
        <w:rPr>
          <w:lang w:val="en-IE"/>
        </w:rPr>
        <w:t xml:space="preserve"> is composed primarily of the 2-digit industrial sector </w:t>
      </w:r>
      <w:r w:rsidRPr="00DB00D1">
        <w:rPr>
          <w:i/>
          <w:iCs/>
          <w:lang w:val="en-IE"/>
        </w:rPr>
        <w:t xml:space="preserve">I56 </w:t>
      </w:r>
      <w:r>
        <w:rPr>
          <w:i/>
          <w:iCs/>
          <w:lang w:val="en-IE"/>
        </w:rPr>
        <w:t>–</w:t>
      </w:r>
      <w:r w:rsidRPr="00DB00D1">
        <w:rPr>
          <w:i/>
          <w:iCs/>
          <w:lang w:val="en-IE"/>
        </w:rPr>
        <w:t xml:space="preserve"> Food and beverage service activities</w:t>
      </w:r>
      <w:r w:rsidRPr="00DB00D1">
        <w:rPr>
          <w:lang w:val="en-IE"/>
        </w:rPr>
        <w:t xml:space="preserve">. Where the 3digit most relevant sector is </w:t>
      </w:r>
      <w:r w:rsidRPr="00DB00D1">
        <w:rPr>
          <w:i/>
          <w:iCs/>
          <w:lang w:val="en-IE"/>
        </w:rPr>
        <w:t xml:space="preserve">561 </w:t>
      </w:r>
      <w:r>
        <w:rPr>
          <w:i/>
          <w:iCs/>
          <w:lang w:val="en-IE"/>
        </w:rPr>
        <w:t>–</w:t>
      </w:r>
      <w:r w:rsidRPr="00DB00D1">
        <w:rPr>
          <w:i/>
          <w:iCs/>
          <w:lang w:val="en-IE"/>
        </w:rPr>
        <w:t xml:space="preserve"> Restaurants and mobile food service activities</w:t>
      </w:r>
      <w:r w:rsidRPr="00DB00D1">
        <w:rPr>
          <w:lang w:val="en-IE"/>
        </w:rPr>
        <w:t>. This</w:t>
      </w:r>
      <w:r>
        <w:rPr>
          <w:rFonts w:ascii="Calibri" w:hAnsi="Calibri" w:cs="Calibri"/>
          <w:lang w:val="en-IE"/>
        </w:rPr>
        <w:t> </w:t>
      </w:r>
      <w:r w:rsidRPr="00DB00D1">
        <w:rPr>
          <w:lang w:val="en-IE"/>
        </w:rPr>
        <w:t>sector exhibits specialisation values that significantly surpass the EU-27 average, along with a</w:t>
      </w:r>
      <w:r>
        <w:rPr>
          <w:rFonts w:ascii="Calibri" w:hAnsi="Calibri" w:cs="Calibri"/>
          <w:lang w:val="en-IE"/>
        </w:rPr>
        <w:t> </w:t>
      </w:r>
      <w:r w:rsidRPr="00DB00D1">
        <w:rPr>
          <w:lang w:val="en-IE"/>
        </w:rPr>
        <w:t xml:space="preserve">critical mass well above the established threshold. It ranks among the top 10 sectors for new venture creation and digitalisation within the country. Potentially, it has a strong link with the S3 priority, Sustainable Agriculture and Food Value Chain. Furthermore, it presents </w:t>
      </w:r>
      <w:r>
        <w:rPr>
          <w:lang w:val="en-IE"/>
        </w:rPr>
        <w:t>significant</w:t>
      </w:r>
      <w:r w:rsidRPr="00DB00D1">
        <w:rPr>
          <w:lang w:val="en-IE"/>
        </w:rPr>
        <w:t xml:space="preserve"> potential synergies with another identified sector</w:t>
      </w:r>
      <w:r>
        <w:rPr>
          <w:lang w:val="en-IE"/>
        </w:rPr>
        <w:t xml:space="preserve"> – </w:t>
      </w:r>
      <w:r w:rsidRPr="00DB00D1">
        <w:rPr>
          <w:lang w:val="en-IE"/>
        </w:rPr>
        <w:t>tourism</w:t>
      </w:r>
      <w:r>
        <w:rPr>
          <w:lang w:val="en-IE"/>
        </w:rPr>
        <w:t xml:space="preserve"> - </w:t>
      </w:r>
      <w:r w:rsidRPr="00DB00D1">
        <w:rPr>
          <w:lang w:val="en-IE"/>
        </w:rPr>
        <w:t>as well as with some of the nation</w:t>
      </w:r>
      <w:r>
        <w:rPr>
          <w:lang w:val="en-IE"/>
        </w:rPr>
        <w:t>’</w:t>
      </w:r>
      <w:r w:rsidRPr="00DB00D1">
        <w:rPr>
          <w:lang w:val="en-IE"/>
        </w:rPr>
        <w:t>s agricultural scientific specialisations.</w:t>
      </w:r>
    </w:p>
    <w:p w14:paraId="5DF06E2C" w14:textId="77777777" w:rsidR="00BA1E77" w:rsidRPr="00DB00D1" w:rsidRDefault="00BA1E77" w:rsidP="00BA1E77">
      <w:pPr>
        <w:pStyle w:val="JRCText"/>
        <w:numPr>
          <w:ilvl w:val="0"/>
          <w:numId w:val="27"/>
        </w:numPr>
        <w:rPr>
          <w:lang w:val="en-IE"/>
        </w:rPr>
      </w:pPr>
      <w:r w:rsidRPr="00DB00D1">
        <w:rPr>
          <w:b/>
          <w:bCs/>
          <w:lang w:val="en-IE"/>
        </w:rPr>
        <w:t>ICT</w:t>
      </w:r>
      <w:r w:rsidRPr="00DB00D1">
        <w:rPr>
          <w:lang w:val="en-IE"/>
        </w:rPr>
        <w:t xml:space="preserve"> is composed primarily of the 2-digit industrial sectors </w:t>
      </w:r>
      <w:r w:rsidRPr="00DB00D1">
        <w:rPr>
          <w:i/>
          <w:iCs/>
          <w:lang w:val="en-IE"/>
        </w:rPr>
        <w:t xml:space="preserve">J60 </w:t>
      </w:r>
      <w:r>
        <w:rPr>
          <w:i/>
          <w:iCs/>
          <w:lang w:val="en-IE"/>
        </w:rPr>
        <w:t>–</w:t>
      </w:r>
      <w:r w:rsidRPr="00DB00D1">
        <w:rPr>
          <w:i/>
          <w:iCs/>
          <w:lang w:val="en-IE"/>
        </w:rPr>
        <w:t xml:space="preserve"> Programming and broadcasting activities</w:t>
      </w:r>
      <w:r w:rsidRPr="00DB00D1">
        <w:rPr>
          <w:lang w:val="en-IE"/>
        </w:rPr>
        <w:t xml:space="preserve"> and </w:t>
      </w:r>
      <w:r w:rsidRPr="00DB00D1">
        <w:rPr>
          <w:i/>
          <w:iCs/>
          <w:lang w:val="en-IE"/>
        </w:rPr>
        <w:t xml:space="preserve">J61 - Telecommunications. </w:t>
      </w:r>
      <w:r w:rsidRPr="00DB00D1">
        <w:rPr>
          <w:lang w:val="en-IE"/>
        </w:rPr>
        <w:t xml:space="preserve">Where the 3-digit most relevant sector are respectively </w:t>
      </w:r>
      <w:r w:rsidRPr="00DB00D1">
        <w:rPr>
          <w:i/>
          <w:iCs/>
          <w:lang w:val="en-IE"/>
        </w:rPr>
        <w:t>602</w:t>
      </w:r>
      <w:r>
        <w:rPr>
          <w:i/>
          <w:iCs/>
          <w:lang w:val="en-IE"/>
        </w:rPr>
        <w:t xml:space="preserve"> –</w:t>
      </w:r>
      <w:r w:rsidRPr="00DB00D1">
        <w:rPr>
          <w:i/>
          <w:iCs/>
          <w:lang w:val="en-IE"/>
        </w:rPr>
        <w:t xml:space="preserve"> Television programming and broadcasting activities; 611 </w:t>
      </w:r>
      <w:r>
        <w:rPr>
          <w:i/>
          <w:iCs/>
          <w:lang w:val="en-IE"/>
        </w:rPr>
        <w:t>–</w:t>
      </w:r>
      <w:r w:rsidRPr="00DB00D1">
        <w:rPr>
          <w:i/>
          <w:iCs/>
          <w:lang w:val="en-IE"/>
        </w:rPr>
        <w:t xml:space="preserve"> Wired telecommunications activities </w:t>
      </w:r>
      <w:r w:rsidRPr="00DB00D1">
        <w:rPr>
          <w:lang w:val="en-IE"/>
        </w:rPr>
        <w:t>and</w:t>
      </w:r>
      <w:r w:rsidRPr="00DB00D1">
        <w:rPr>
          <w:i/>
          <w:iCs/>
          <w:lang w:val="en-IE"/>
        </w:rPr>
        <w:t xml:space="preserve"> 619 </w:t>
      </w:r>
      <w:r>
        <w:rPr>
          <w:i/>
          <w:iCs/>
          <w:lang w:val="en-IE"/>
        </w:rPr>
        <w:t>–</w:t>
      </w:r>
      <w:r w:rsidRPr="00DB00D1">
        <w:rPr>
          <w:i/>
          <w:iCs/>
          <w:lang w:val="en-IE"/>
        </w:rPr>
        <w:t xml:space="preserve"> Other telecommunications activities, </w:t>
      </w:r>
      <w:r w:rsidRPr="00DB00D1">
        <w:rPr>
          <w:lang w:val="en-IE"/>
        </w:rPr>
        <w:t>all of which exhibit a specialisation value that exceed stricter threshold and a critical mass that exceed the broader threshold. Moreover, the J sector is one of the few that benefits from research grants in the country, specifically within the S3 priority area of ICT. Additionally, this sector demonstrates noteworthy performance in terms of scientific potential, particularly in the field of telecommunications, which shows significant strengths compared to the Western Balkans.</w:t>
      </w:r>
    </w:p>
    <w:p w14:paraId="6BBF826C" w14:textId="77777777" w:rsidR="00BA1E77" w:rsidRPr="00DB00D1" w:rsidRDefault="00BA1E77" w:rsidP="00BA1E77">
      <w:pPr>
        <w:pStyle w:val="JRCText"/>
        <w:numPr>
          <w:ilvl w:val="0"/>
          <w:numId w:val="27"/>
        </w:numPr>
        <w:rPr>
          <w:lang w:val="en-IE"/>
        </w:rPr>
      </w:pPr>
      <w:r w:rsidRPr="00DB00D1">
        <w:rPr>
          <w:b/>
          <w:bCs/>
          <w:lang w:val="en-IE"/>
        </w:rPr>
        <w:lastRenderedPageBreak/>
        <w:t>Tourism</w:t>
      </w:r>
      <w:r w:rsidRPr="00DB00D1">
        <w:rPr>
          <w:lang w:val="en-IE"/>
        </w:rPr>
        <w:t xml:space="preserve"> is composed primarily of the 2-digit industrial sectors </w:t>
      </w:r>
      <w:r w:rsidRPr="00DB00D1">
        <w:rPr>
          <w:i/>
          <w:iCs/>
          <w:lang w:val="en-IE"/>
        </w:rPr>
        <w:t xml:space="preserve">I55 </w:t>
      </w:r>
      <w:r>
        <w:rPr>
          <w:i/>
          <w:iCs/>
          <w:lang w:val="en-IE"/>
        </w:rPr>
        <w:t>–</w:t>
      </w:r>
      <w:r w:rsidRPr="00DB00D1">
        <w:rPr>
          <w:i/>
          <w:iCs/>
          <w:lang w:val="en-IE"/>
        </w:rPr>
        <w:t xml:space="preserve"> Accommodation</w:t>
      </w:r>
      <w:r w:rsidRPr="00DB00D1">
        <w:rPr>
          <w:lang w:val="en-IE"/>
        </w:rPr>
        <w:t xml:space="preserve"> and </w:t>
      </w:r>
      <w:r w:rsidRPr="00DB00D1">
        <w:rPr>
          <w:i/>
          <w:iCs/>
          <w:lang w:val="en-IE"/>
        </w:rPr>
        <w:t xml:space="preserve">L68 </w:t>
      </w:r>
      <w:r>
        <w:rPr>
          <w:i/>
          <w:iCs/>
          <w:lang w:val="en-IE"/>
        </w:rPr>
        <w:t>–</w:t>
      </w:r>
      <w:r w:rsidRPr="00DB00D1">
        <w:rPr>
          <w:i/>
          <w:iCs/>
          <w:lang w:val="en-IE"/>
        </w:rPr>
        <w:t xml:space="preserve"> Real estate activities</w:t>
      </w:r>
      <w:r w:rsidRPr="00DB00D1">
        <w:rPr>
          <w:lang w:val="en-IE"/>
        </w:rPr>
        <w:t xml:space="preserve">. Where the 3-digit most relevant sectors are respectively </w:t>
      </w:r>
      <w:r w:rsidRPr="00DB00D1">
        <w:rPr>
          <w:i/>
          <w:iCs/>
          <w:lang w:val="en-IE"/>
        </w:rPr>
        <w:t xml:space="preserve">551 </w:t>
      </w:r>
      <w:r>
        <w:rPr>
          <w:i/>
          <w:iCs/>
          <w:lang w:val="en-IE"/>
        </w:rPr>
        <w:t>–</w:t>
      </w:r>
      <w:r w:rsidRPr="00DB00D1">
        <w:rPr>
          <w:i/>
          <w:iCs/>
          <w:lang w:val="en-IE"/>
        </w:rPr>
        <w:t xml:space="preserve"> Hotels and similar accommodation</w:t>
      </w:r>
      <w:r w:rsidRPr="00DB00D1">
        <w:rPr>
          <w:lang w:val="en-IE"/>
        </w:rPr>
        <w:t xml:space="preserve"> and </w:t>
      </w:r>
      <w:r w:rsidRPr="00DB00D1">
        <w:rPr>
          <w:i/>
          <w:iCs/>
          <w:lang w:val="en-IE"/>
        </w:rPr>
        <w:t xml:space="preserve">682 </w:t>
      </w:r>
      <w:r>
        <w:rPr>
          <w:i/>
          <w:iCs/>
          <w:lang w:val="en-IE"/>
        </w:rPr>
        <w:t>–</w:t>
      </w:r>
      <w:r w:rsidRPr="00DB00D1">
        <w:rPr>
          <w:i/>
          <w:iCs/>
          <w:lang w:val="en-IE"/>
        </w:rPr>
        <w:t xml:space="preserve"> Rental and operating of own or leased real estate. </w:t>
      </w:r>
      <w:r w:rsidRPr="00DB00D1">
        <w:rPr>
          <w:lang w:val="en-IE"/>
        </w:rPr>
        <w:t>Sectors showing values of specialisation and critical mass largely above the threshold. In addition, it is among the 10 sectors showing the highest sales in the country and with the highest values of new ventures. It also shows high values of digitalisation and includes one of the few companies that hold a patent.</w:t>
      </w:r>
    </w:p>
    <w:p w14:paraId="0DF1B9CB" w14:textId="77777777" w:rsidR="00BA1E77" w:rsidRPr="00BA1E77" w:rsidRDefault="00BA1E77" w:rsidP="00BA1E77">
      <w:pPr>
        <w:pStyle w:val="JRCLevel-1title"/>
        <w:numPr>
          <w:ilvl w:val="0"/>
          <w:numId w:val="0"/>
        </w:numPr>
        <w:ind w:left="432" w:hanging="432"/>
        <w:rPr>
          <w:lang w:val="en-IE"/>
        </w:rPr>
      </w:pPr>
    </w:p>
    <w:p w14:paraId="4B18B862" w14:textId="77777777" w:rsidR="00BA1E77" w:rsidRDefault="00BA1E77" w:rsidP="00BA1E77">
      <w:pPr>
        <w:pStyle w:val="JRCText"/>
      </w:pPr>
    </w:p>
    <w:p w14:paraId="087000D5" w14:textId="77777777" w:rsidR="00BA1E77" w:rsidRDefault="00BA1E77" w:rsidP="00BA1E77">
      <w:pPr>
        <w:pStyle w:val="JRCText"/>
      </w:pPr>
    </w:p>
    <w:bookmarkEnd w:id="2"/>
    <w:p w14:paraId="73E2FF5B" w14:textId="42271164" w:rsidR="00C30033" w:rsidRDefault="00C30033" w:rsidP="00C30033">
      <w:pPr>
        <w:pStyle w:val="JRCText"/>
        <w:numPr>
          <w:ilvl w:val="0"/>
          <w:numId w:val="27"/>
        </w:numPr>
        <w:rPr>
          <w:lang w:val="en-IE"/>
        </w:rPr>
        <w:sectPr w:rsidR="00C30033">
          <w:pgSz w:w="11906" w:h="16838"/>
          <w:pgMar w:top="1440" w:right="1440" w:bottom="1440" w:left="1440" w:header="708" w:footer="708" w:gutter="0"/>
          <w:cols w:space="708"/>
          <w:docGrid w:linePitch="360"/>
        </w:sectPr>
      </w:pPr>
    </w:p>
    <w:p w14:paraId="6094AE77" w14:textId="77777777" w:rsidR="00C30033" w:rsidRPr="00BA1E77" w:rsidRDefault="00C30033" w:rsidP="00BA1E77">
      <w:pPr>
        <w:pStyle w:val="JRCLevel-1title"/>
        <w:numPr>
          <w:ilvl w:val="0"/>
          <w:numId w:val="0"/>
        </w:numPr>
        <w:ind w:left="432" w:hanging="432"/>
        <w:rPr>
          <w:rFonts w:eastAsia="Calibri"/>
          <w:b/>
          <w:bCs/>
        </w:rPr>
      </w:pPr>
      <w:bookmarkStart w:id="107" w:name="_Toc220918866"/>
      <w:bookmarkStart w:id="108" w:name="_Toc221016440"/>
      <w:r w:rsidRPr="00BA1E77">
        <w:rPr>
          <w:rFonts w:eastAsia="Calibri"/>
          <w:b/>
          <w:bCs/>
        </w:rPr>
        <w:lastRenderedPageBreak/>
        <w:t>References</w:t>
      </w:r>
      <w:bookmarkEnd w:id="107"/>
      <w:bookmarkEnd w:id="108"/>
    </w:p>
    <w:p w14:paraId="42F5FBD9" w14:textId="77777777" w:rsidR="00C30033" w:rsidRPr="008A567A" w:rsidRDefault="00C30033" w:rsidP="00C30033">
      <w:pPr>
        <w:pStyle w:val="JRCText"/>
      </w:pPr>
      <w:r w:rsidRPr="008A567A">
        <w:t xml:space="preserve">ACIT Centre (2023), </w:t>
      </w:r>
      <w:r w:rsidRPr="008A567A">
        <w:rPr>
          <w:i/>
          <w:iCs/>
        </w:rPr>
        <w:t>BALKAN BAROMETER Business Opinion Analytical report</w:t>
      </w:r>
      <w:r w:rsidRPr="008A567A">
        <w:t xml:space="preserve">, Regional Cooperation Council </w:t>
      </w:r>
      <w:proofErr w:type="spellStart"/>
      <w:r w:rsidRPr="008A567A">
        <w:t>Trg</w:t>
      </w:r>
      <w:proofErr w:type="spellEnd"/>
      <w:r w:rsidRPr="008A567A">
        <w:t xml:space="preserve"> </w:t>
      </w:r>
      <w:proofErr w:type="spellStart"/>
      <w:r w:rsidRPr="008A567A">
        <w:t>Bosne</w:t>
      </w:r>
      <w:proofErr w:type="spellEnd"/>
      <w:r w:rsidRPr="008A567A">
        <w:t xml:space="preserve"> i </w:t>
      </w:r>
      <w:proofErr w:type="spellStart"/>
      <w:r w:rsidRPr="008A567A">
        <w:t>Hercegovine</w:t>
      </w:r>
      <w:proofErr w:type="spellEnd"/>
      <w:r w:rsidRPr="008A567A">
        <w:t xml:space="preserve"> 1/V, 71000 Sarajevo Bosnia and Herzegovina,</w:t>
      </w:r>
    </w:p>
    <w:p w14:paraId="1B2C1C1F" w14:textId="77777777" w:rsidR="00C30033" w:rsidRPr="008A567A" w:rsidRDefault="00C30033" w:rsidP="00C30033">
      <w:pPr>
        <w:pStyle w:val="JRCText"/>
      </w:pPr>
      <w:r w:rsidRPr="008A567A">
        <w:t xml:space="preserve">Hollanders, H., Tolias, Y., Radovanovic, N., Gonzalez Evangelista, M., Fabbri, E., </w:t>
      </w:r>
      <w:proofErr w:type="spellStart"/>
      <w:r w:rsidRPr="008A567A">
        <w:t>Gerussi</w:t>
      </w:r>
      <w:proofErr w:type="spellEnd"/>
      <w:r w:rsidRPr="008A567A">
        <w:t>, E., Sasso, S. and Miedzinski, M., Measuring territorial innovation strengths, Radovanovic, N., Gonzalez Evangelista, M. and Fabbri, E. editor(s), Publications Office of the European Union, Luxembourg, 2024, doi:10.2760/73871, JRC136308</w:t>
      </w:r>
    </w:p>
    <w:p w14:paraId="063F863D" w14:textId="77777777" w:rsidR="00C30033" w:rsidRPr="008A567A" w:rsidRDefault="00C30033" w:rsidP="00C30033">
      <w:pPr>
        <w:pStyle w:val="JRCText"/>
      </w:pPr>
      <w:r w:rsidRPr="008A567A">
        <w:t xml:space="preserve">Kinne, J., &amp; </w:t>
      </w:r>
      <w:proofErr w:type="spellStart"/>
      <w:r w:rsidRPr="008A567A">
        <w:t>Axenbeck</w:t>
      </w:r>
      <w:proofErr w:type="spellEnd"/>
      <w:r w:rsidRPr="008A567A">
        <w:t xml:space="preserve">, J. (2020), Web mining for innovation ecosystem mapping: a framework and a large-scale pilot study. </w:t>
      </w:r>
      <w:proofErr w:type="spellStart"/>
      <w:r w:rsidRPr="008A567A">
        <w:rPr>
          <w:i/>
          <w:iCs/>
        </w:rPr>
        <w:t>Scientometrics</w:t>
      </w:r>
      <w:proofErr w:type="spellEnd"/>
      <w:r w:rsidRPr="008A567A">
        <w:t xml:space="preserve">, </w:t>
      </w:r>
      <w:r w:rsidRPr="008A567A">
        <w:rPr>
          <w:i/>
          <w:iCs/>
        </w:rPr>
        <w:t>125</w:t>
      </w:r>
      <w:r w:rsidRPr="008A567A">
        <w:t>(3), 2011-2041.</w:t>
      </w:r>
    </w:p>
    <w:p w14:paraId="4E0D95BF" w14:textId="77777777" w:rsidR="00C30033" w:rsidRPr="008A567A" w:rsidRDefault="00C30033" w:rsidP="00C30033">
      <w:pPr>
        <w:pStyle w:val="JRCText"/>
        <w:rPr>
          <w:lang w:val="en-US"/>
        </w:rPr>
      </w:pPr>
      <w:r w:rsidRPr="008A567A">
        <w:t xml:space="preserve">Matusiak M., </w:t>
      </w:r>
      <w:proofErr w:type="spellStart"/>
      <w:r w:rsidRPr="008A567A">
        <w:t>Kleibrink</w:t>
      </w:r>
      <w:proofErr w:type="spellEnd"/>
      <w:r w:rsidRPr="008A567A">
        <w:t xml:space="preserve"> A. (ed.), Supporting an Innovation Agenda for the Western Balkans: Tools and Methodologies, Publications Office of the European Union, Luxembourg, 2018, ISBN 978-92-79-81870-7, doi:10.2760/48162, JRC111430</w:t>
      </w:r>
    </w:p>
    <w:p w14:paraId="7A369414" w14:textId="77777777" w:rsidR="00C30033" w:rsidRPr="008A567A" w:rsidRDefault="00C30033" w:rsidP="00C30033">
      <w:pPr>
        <w:pStyle w:val="JRCText"/>
      </w:pPr>
      <w:r w:rsidRPr="008A567A">
        <w:t xml:space="preserve">Mazzoni, L., Pinelli, F., &amp; Riccaboni, M. (2024), Measuring corporate digital divide through websites: insights from Italian firms. </w:t>
      </w:r>
      <w:r w:rsidRPr="008A567A">
        <w:rPr>
          <w:i/>
          <w:iCs/>
        </w:rPr>
        <w:t>EPJ data science</w:t>
      </w:r>
      <w:r w:rsidRPr="008A567A">
        <w:t xml:space="preserve">, </w:t>
      </w:r>
      <w:r w:rsidRPr="008A567A">
        <w:rPr>
          <w:i/>
          <w:iCs/>
        </w:rPr>
        <w:t>13</w:t>
      </w:r>
      <w:r w:rsidRPr="008A567A">
        <w:t>(1), 51.</w:t>
      </w:r>
    </w:p>
    <w:p w14:paraId="1ADBBF59" w14:textId="77777777" w:rsidR="00C30033" w:rsidRPr="008F7114" w:rsidRDefault="00C30033" w:rsidP="00C30033">
      <w:pPr>
        <w:pStyle w:val="JRCText"/>
        <w:rPr>
          <w:lang w:val="en-IE"/>
        </w:rPr>
      </w:pPr>
      <w:proofErr w:type="spellStart"/>
      <w:r w:rsidRPr="008F7114">
        <w:rPr>
          <w:lang w:val="en-IE"/>
        </w:rPr>
        <w:t>Monstat</w:t>
      </w:r>
      <w:proofErr w:type="spellEnd"/>
      <w:r w:rsidRPr="008F7114">
        <w:rPr>
          <w:lang w:val="en-IE"/>
        </w:rPr>
        <w:t xml:space="preserve"> (2023), </w:t>
      </w:r>
      <w:hyperlink r:id="rId33" w:history="1">
        <w:r w:rsidRPr="008F7114">
          <w:rPr>
            <w:rStyle w:val="Hyperlink"/>
            <w:lang w:val="en-IE"/>
          </w:rPr>
          <w:t>https://www.monstat.org/eng/index.php</w:t>
        </w:r>
      </w:hyperlink>
    </w:p>
    <w:p w14:paraId="7B488B60" w14:textId="77777777" w:rsidR="00C30033" w:rsidRPr="008A567A" w:rsidRDefault="00C30033" w:rsidP="00C30033">
      <w:pPr>
        <w:pStyle w:val="JRCText"/>
      </w:pPr>
      <w:r w:rsidRPr="008A567A">
        <w:t xml:space="preserve">OECD (2024), </w:t>
      </w:r>
      <w:r w:rsidRPr="008A567A">
        <w:rPr>
          <w:i/>
          <w:iCs/>
        </w:rPr>
        <w:t>Western Balkans Competitiveness Outlook 2024: Montenegro</w:t>
      </w:r>
      <w:r w:rsidRPr="008A567A">
        <w:t xml:space="preserve">, Competitiveness and Private Sector Development, OECD Publishing, Paris, </w:t>
      </w:r>
      <w:hyperlink r:id="rId34" w:history="1">
        <w:r w:rsidRPr="008A567A">
          <w:rPr>
            <w:rStyle w:val="Hyperlink"/>
          </w:rPr>
          <w:t>https://doi.org/10.1787/ead1588e-en</w:t>
        </w:r>
      </w:hyperlink>
      <w:r w:rsidRPr="008A567A">
        <w:t>.</w:t>
      </w:r>
    </w:p>
    <w:p w14:paraId="151E331C" w14:textId="77777777" w:rsidR="00BA1E77" w:rsidRDefault="00C30033" w:rsidP="00C30033">
      <w:pPr>
        <w:pStyle w:val="JRCText"/>
        <w:sectPr w:rsidR="00BA1E77" w:rsidSect="00C30033">
          <w:pgSz w:w="11906" w:h="16838" w:code="9"/>
          <w:pgMar w:top="1418" w:right="1418" w:bottom="1418" w:left="1418" w:header="709" w:footer="709" w:gutter="0"/>
          <w:cols w:space="708"/>
          <w:docGrid w:linePitch="360"/>
        </w:sectPr>
      </w:pPr>
      <w:r w:rsidRPr="008A567A">
        <w:t xml:space="preserve">World Bank (2024), World Development Indicators, </w:t>
      </w:r>
      <w:proofErr w:type="spellStart"/>
      <w:r w:rsidRPr="008A567A">
        <w:t>DataBank</w:t>
      </w:r>
      <w:proofErr w:type="spellEnd"/>
      <w:r w:rsidRPr="008A567A">
        <w:t xml:space="preserve">, </w:t>
      </w:r>
      <w:hyperlink r:id="rId35" w:history="1">
        <w:r w:rsidRPr="008A567A">
          <w:rPr>
            <w:rStyle w:val="Hyperlink"/>
          </w:rPr>
          <w:t>https://databank.worldbank.org/source/world-development-indicators</w:t>
        </w:r>
      </w:hyperlink>
    </w:p>
    <w:p w14:paraId="40807F07" w14:textId="77777777" w:rsidR="00C30033" w:rsidRPr="00BA1E77" w:rsidRDefault="00C30033" w:rsidP="00BA1E77">
      <w:pPr>
        <w:pStyle w:val="JRCLevel-1title"/>
        <w:numPr>
          <w:ilvl w:val="0"/>
          <w:numId w:val="0"/>
        </w:numPr>
        <w:ind w:left="432" w:hanging="432"/>
        <w:rPr>
          <w:rFonts w:eastAsia="Calibri"/>
          <w:b/>
          <w:bCs/>
        </w:rPr>
      </w:pPr>
      <w:bookmarkStart w:id="109" w:name="_Toc220918867"/>
      <w:bookmarkStart w:id="110" w:name="_Toc221016441"/>
      <w:r w:rsidRPr="00BA1E77">
        <w:rPr>
          <w:rFonts w:eastAsia="Calibri"/>
          <w:b/>
          <w:bCs/>
        </w:rPr>
        <w:lastRenderedPageBreak/>
        <w:t>List of abbreviations and definitions</w:t>
      </w:r>
      <w:bookmarkEnd w:id="109"/>
      <w:bookmarkEnd w:id="110"/>
      <w:r w:rsidRPr="00BA1E77">
        <w:rPr>
          <w:rFonts w:eastAsia="Calibri"/>
          <w:b/>
          <w:bCs/>
        </w:rPr>
        <w:t xml:space="preserve"> </w:t>
      </w:r>
    </w:p>
    <w:tbl>
      <w:tblPr>
        <w:tblStyle w:val="JRCTableabbreviations"/>
        <w:tblW w:w="9071" w:type="dxa"/>
        <w:tblLook w:val="06A0" w:firstRow="1" w:lastRow="0" w:firstColumn="1" w:lastColumn="0" w:noHBand="1" w:noVBand="1"/>
      </w:tblPr>
      <w:tblGrid>
        <w:gridCol w:w="3005"/>
        <w:gridCol w:w="6066"/>
      </w:tblGrid>
      <w:tr w:rsidR="00C30033" w:rsidRPr="00736593" w14:paraId="7F0383B6" w14:textId="77777777" w:rsidTr="00C70998">
        <w:trPr>
          <w:cnfStyle w:val="100000000000" w:firstRow="1" w:lastRow="0" w:firstColumn="0" w:lastColumn="0" w:oddVBand="0" w:evenVBand="0" w:oddHBand="0" w:evenHBand="0" w:firstRowFirstColumn="0" w:firstRowLastColumn="0" w:lastRowFirstColumn="0" w:lastRowLastColumn="0"/>
        </w:trPr>
        <w:tc>
          <w:tcPr>
            <w:tcW w:w="3005" w:type="dxa"/>
          </w:tcPr>
          <w:p w14:paraId="1C95F6F4" w14:textId="77777777" w:rsidR="00C30033" w:rsidRPr="00736593" w:rsidRDefault="00C30033" w:rsidP="00C70998">
            <w:r w:rsidRPr="00736593">
              <w:t>Abbreviations</w:t>
            </w:r>
          </w:p>
        </w:tc>
        <w:tc>
          <w:tcPr>
            <w:tcW w:w="6066" w:type="dxa"/>
          </w:tcPr>
          <w:p w14:paraId="402FA616" w14:textId="77777777" w:rsidR="00C30033" w:rsidRPr="00736593" w:rsidRDefault="00C30033" w:rsidP="00C70998">
            <w:r w:rsidRPr="00736593">
              <w:t>Definitions</w:t>
            </w:r>
          </w:p>
        </w:tc>
      </w:tr>
      <w:tr w:rsidR="00C30033" w:rsidRPr="00736593" w14:paraId="3384117D" w14:textId="77777777" w:rsidTr="00C70998">
        <w:trPr>
          <w:tblHeader w:val="0"/>
        </w:trPr>
        <w:tc>
          <w:tcPr>
            <w:tcW w:w="3005" w:type="dxa"/>
          </w:tcPr>
          <w:p w14:paraId="44E0E8A2" w14:textId="77777777" w:rsidR="00C30033" w:rsidRPr="00736593" w:rsidRDefault="00C30033" w:rsidP="00C70998">
            <w:r w:rsidRPr="008F7C7E">
              <w:t xml:space="preserve">BERT </w:t>
            </w:r>
          </w:p>
        </w:tc>
        <w:tc>
          <w:tcPr>
            <w:tcW w:w="6066" w:type="dxa"/>
          </w:tcPr>
          <w:p w14:paraId="03497116" w14:textId="77777777" w:rsidR="00C30033" w:rsidRPr="00736593" w:rsidRDefault="00C30033" w:rsidP="00C70998">
            <w:r w:rsidRPr="008F7C7E">
              <w:t xml:space="preserve">Bidirectional Encoder Representations from Transformers </w:t>
            </w:r>
          </w:p>
        </w:tc>
      </w:tr>
      <w:tr w:rsidR="00C30033" w:rsidRPr="00736593" w14:paraId="48D2AFE7" w14:textId="77777777" w:rsidTr="00C70998">
        <w:trPr>
          <w:tblHeader w:val="0"/>
        </w:trPr>
        <w:tc>
          <w:tcPr>
            <w:tcW w:w="3005" w:type="dxa"/>
          </w:tcPr>
          <w:p w14:paraId="6C9FC09A" w14:textId="77777777" w:rsidR="00C30033" w:rsidRPr="00736593" w:rsidRDefault="00C30033" w:rsidP="00C70998">
            <w:r w:rsidRPr="008F7C7E">
              <w:t xml:space="preserve">EaP </w:t>
            </w:r>
          </w:p>
        </w:tc>
        <w:tc>
          <w:tcPr>
            <w:tcW w:w="6066" w:type="dxa"/>
          </w:tcPr>
          <w:p w14:paraId="47ACBCC5" w14:textId="77777777" w:rsidR="00C30033" w:rsidRPr="00736593" w:rsidRDefault="00C30033" w:rsidP="00C70998">
            <w:r w:rsidRPr="008F7C7E">
              <w:t xml:space="preserve">Eastern Partnership countries </w:t>
            </w:r>
          </w:p>
        </w:tc>
      </w:tr>
      <w:tr w:rsidR="00C30033" w:rsidRPr="00736593" w14:paraId="44CEA0CC" w14:textId="77777777" w:rsidTr="00C70998">
        <w:trPr>
          <w:tblHeader w:val="0"/>
        </w:trPr>
        <w:tc>
          <w:tcPr>
            <w:tcW w:w="3005" w:type="dxa"/>
          </w:tcPr>
          <w:p w14:paraId="55B2FEB1" w14:textId="77777777" w:rsidR="00C30033" w:rsidRPr="00736593" w:rsidRDefault="00C30033" w:rsidP="00C70998">
            <w:r w:rsidRPr="008F7C7E">
              <w:t xml:space="preserve">EU </w:t>
            </w:r>
          </w:p>
        </w:tc>
        <w:tc>
          <w:tcPr>
            <w:tcW w:w="6066" w:type="dxa"/>
          </w:tcPr>
          <w:p w14:paraId="4EE1BAF8" w14:textId="77777777" w:rsidR="00C30033" w:rsidRPr="00736593" w:rsidRDefault="00C30033" w:rsidP="00C70998">
            <w:r w:rsidRPr="008F7C7E">
              <w:t xml:space="preserve">European Union </w:t>
            </w:r>
          </w:p>
        </w:tc>
      </w:tr>
      <w:tr w:rsidR="00C30033" w:rsidRPr="00736593" w14:paraId="398F4EAC" w14:textId="77777777" w:rsidTr="00C70998">
        <w:trPr>
          <w:tblHeader w:val="0"/>
        </w:trPr>
        <w:tc>
          <w:tcPr>
            <w:tcW w:w="3005" w:type="dxa"/>
          </w:tcPr>
          <w:p w14:paraId="45FB90BE" w14:textId="77777777" w:rsidR="00C30033" w:rsidRPr="00B44C04" w:rsidRDefault="00C30033" w:rsidP="00C70998">
            <w:pPr>
              <w:rPr>
                <w:rFonts w:ascii="EC Square Sans Pro" w:hAnsi="EC Square Sans Pro"/>
                <w:spacing w:val="-5"/>
              </w:rPr>
            </w:pPr>
            <w:r w:rsidRPr="008F7C7E">
              <w:t xml:space="preserve">E&amp;N </w:t>
            </w:r>
          </w:p>
        </w:tc>
        <w:tc>
          <w:tcPr>
            <w:tcW w:w="6066" w:type="dxa"/>
          </w:tcPr>
          <w:p w14:paraId="5EECB2AC" w14:textId="77777777" w:rsidR="00C30033" w:rsidRPr="00736593" w:rsidRDefault="00C30033" w:rsidP="00C70998">
            <w:pPr>
              <w:rPr>
                <w:lang w:eastAsia="en-GB"/>
              </w:rPr>
            </w:pPr>
            <w:r w:rsidRPr="008F7C7E">
              <w:t xml:space="preserve">Enlargement and Neighbourhood </w:t>
            </w:r>
          </w:p>
        </w:tc>
      </w:tr>
      <w:tr w:rsidR="00C30033" w:rsidRPr="00736593" w14:paraId="4DBDB2FB" w14:textId="77777777" w:rsidTr="00C70998">
        <w:trPr>
          <w:tblHeader w:val="0"/>
        </w:trPr>
        <w:tc>
          <w:tcPr>
            <w:tcW w:w="3005" w:type="dxa"/>
          </w:tcPr>
          <w:p w14:paraId="49C9DC53" w14:textId="77777777" w:rsidR="00C30033" w:rsidRPr="00B44C04" w:rsidRDefault="00C30033" w:rsidP="00C70998">
            <w:pPr>
              <w:rPr>
                <w:rFonts w:ascii="EC Square Sans Pro" w:hAnsi="EC Square Sans Pro"/>
                <w:spacing w:val="-5"/>
              </w:rPr>
            </w:pPr>
            <w:r w:rsidRPr="008F7C7E">
              <w:t xml:space="preserve">LFS </w:t>
            </w:r>
          </w:p>
        </w:tc>
        <w:tc>
          <w:tcPr>
            <w:tcW w:w="6066" w:type="dxa"/>
          </w:tcPr>
          <w:p w14:paraId="60162CB3" w14:textId="77777777" w:rsidR="00C30033" w:rsidRPr="00736593" w:rsidRDefault="00C30033" w:rsidP="00C70998">
            <w:pPr>
              <w:rPr>
                <w:lang w:eastAsia="en-GB"/>
              </w:rPr>
            </w:pPr>
            <w:r w:rsidRPr="008F7C7E">
              <w:t xml:space="preserve">Labour force survey </w:t>
            </w:r>
          </w:p>
        </w:tc>
      </w:tr>
      <w:tr w:rsidR="00C30033" w:rsidRPr="00736593" w14:paraId="5B07434F" w14:textId="77777777" w:rsidTr="00C70998">
        <w:trPr>
          <w:tblHeader w:val="0"/>
        </w:trPr>
        <w:tc>
          <w:tcPr>
            <w:tcW w:w="3005" w:type="dxa"/>
          </w:tcPr>
          <w:p w14:paraId="01882CDE" w14:textId="77777777" w:rsidR="00C30033" w:rsidRPr="00B44C04" w:rsidRDefault="00C30033" w:rsidP="00C70998">
            <w:pPr>
              <w:rPr>
                <w:rFonts w:ascii="EC Square Sans Pro" w:hAnsi="EC Square Sans Pro"/>
                <w:spacing w:val="-5"/>
              </w:rPr>
            </w:pPr>
            <w:r w:rsidRPr="008F7C7E">
              <w:rPr>
                <w:lang w:val="fr-BE"/>
              </w:rPr>
              <w:t xml:space="preserve">LQ </w:t>
            </w:r>
          </w:p>
        </w:tc>
        <w:tc>
          <w:tcPr>
            <w:tcW w:w="6066" w:type="dxa"/>
          </w:tcPr>
          <w:p w14:paraId="602DE06B" w14:textId="77777777" w:rsidR="00C30033" w:rsidRPr="00736593" w:rsidRDefault="00C30033" w:rsidP="00C70998">
            <w:pPr>
              <w:rPr>
                <w:lang w:eastAsia="en-GB"/>
              </w:rPr>
            </w:pPr>
            <w:r w:rsidRPr="008F7C7E">
              <w:rPr>
                <w:lang w:val="fr-BE"/>
              </w:rPr>
              <w:t xml:space="preserve">Location quotient </w:t>
            </w:r>
          </w:p>
        </w:tc>
      </w:tr>
      <w:tr w:rsidR="00C30033" w:rsidRPr="00736593" w14:paraId="4FE9840C" w14:textId="77777777" w:rsidTr="00C70998">
        <w:trPr>
          <w:tblHeader w:val="0"/>
        </w:trPr>
        <w:tc>
          <w:tcPr>
            <w:tcW w:w="3005" w:type="dxa"/>
          </w:tcPr>
          <w:p w14:paraId="40AE1C38" w14:textId="77777777" w:rsidR="00C30033" w:rsidRPr="00B44C04" w:rsidRDefault="00C30033" w:rsidP="00C70998">
            <w:pPr>
              <w:rPr>
                <w:rFonts w:ascii="EC Square Sans Pro" w:hAnsi="EC Square Sans Pro"/>
                <w:spacing w:val="-5"/>
              </w:rPr>
            </w:pPr>
            <w:r w:rsidRPr="008F7C7E">
              <w:rPr>
                <w:lang w:val="fr-BE"/>
              </w:rPr>
              <w:t xml:space="preserve">IPC </w:t>
            </w:r>
          </w:p>
        </w:tc>
        <w:tc>
          <w:tcPr>
            <w:tcW w:w="6066" w:type="dxa"/>
          </w:tcPr>
          <w:p w14:paraId="727D671C" w14:textId="77777777" w:rsidR="00C30033" w:rsidRPr="00736593" w:rsidRDefault="00C30033" w:rsidP="00C70998">
            <w:pPr>
              <w:rPr>
                <w:lang w:eastAsia="en-GB"/>
              </w:rPr>
            </w:pPr>
            <w:proofErr w:type="spellStart"/>
            <w:r w:rsidRPr="008F7C7E">
              <w:rPr>
                <w:lang w:val="fr-BE"/>
              </w:rPr>
              <w:t>IInternational</w:t>
            </w:r>
            <w:proofErr w:type="spellEnd"/>
            <w:r w:rsidRPr="008F7C7E">
              <w:rPr>
                <w:lang w:val="fr-BE"/>
              </w:rPr>
              <w:t xml:space="preserve"> Patent Classification </w:t>
            </w:r>
          </w:p>
        </w:tc>
      </w:tr>
      <w:tr w:rsidR="00C30033" w:rsidRPr="00736593" w14:paraId="3254D3D5" w14:textId="77777777" w:rsidTr="00C70998">
        <w:trPr>
          <w:tblHeader w:val="0"/>
        </w:trPr>
        <w:tc>
          <w:tcPr>
            <w:tcW w:w="3005" w:type="dxa"/>
          </w:tcPr>
          <w:p w14:paraId="4C7BA955" w14:textId="77777777" w:rsidR="00C30033" w:rsidRPr="00B44C04" w:rsidRDefault="00C30033" w:rsidP="00C70998">
            <w:pPr>
              <w:rPr>
                <w:rFonts w:ascii="EC Square Sans Pro" w:hAnsi="EC Square Sans Pro"/>
                <w:spacing w:val="-5"/>
              </w:rPr>
            </w:pPr>
            <w:r w:rsidRPr="008F7C7E">
              <w:t xml:space="preserve">IPR </w:t>
            </w:r>
          </w:p>
        </w:tc>
        <w:tc>
          <w:tcPr>
            <w:tcW w:w="6066" w:type="dxa"/>
          </w:tcPr>
          <w:p w14:paraId="3F1C0E13" w14:textId="77777777" w:rsidR="00C30033" w:rsidRPr="00736593" w:rsidRDefault="00C30033" w:rsidP="00C70998">
            <w:pPr>
              <w:rPr>
                <w:lang w:eastAsia="en-GB"/>
              </w:rPr>
            </w:pPr>
            <w:r w:rsidRPr="008F7C7E">
              <w:t xml:space="preserve">Intellectual property rights </w:t>
            </w:r>
          </w:p>
        </w:tc>
      </w:tr>
      <w:tr w:rsidR="00C30033" w:rsidRPr="00736593" w14:paraId="5361F565" w14:textId="77777777" w:rsidTr="00C70998">
        <w:trPr>
          <w:tblHeader w:val="0"/>
        </w:trPr>
        <w:tc>
          <w:tcPr>
            <w:tcW w:w="3005" w:type="dxa"/>
          </w:tcPr>
          <w:p w14:paraId="7B4F5F8D" w14:textId="77777777" w:rsidR="00C30033" w:rsidRPr="00B44C04" w:rsidRDefault="00C30033" w:rsidP="00C70998">
            <w:pPr>
              <w:rPr>
                <w:rFonts w:ascii="EC Square Sans Pro" w:hAnsi="EC Square Sans Pro"/>
                <w:spacing w:val="-5"/>
              </w:rPr>
            </w:pPr>
            <w:r w:rsidRPr="008F7C7E">
              <w:t xml:space="preserve">ISIC </w:t>
            </w:r>
          </w:p>
        </w:tc>
        <w:tc>
          <w:tcPr>
            <w:tcW w:w="6066" w:type="dxa"/>
          </w:tcPr>
          <w:p w14:paraId="2F11A7DF" w14:textId="77777777" w:rsidR="00C30033" w:rsidRPr="00736593" w:rsidRDefault="00C30033" w:rsidP="00C70998">
            <w:pPr>
              <w:rPr>
                <w:lang w:eastAsia="en-GB"/>
              </w:rPr>
            </w:pPr>
            <w:r w:rsidRPr="008F7C7E">
              <w:t xml:space="preserve">International Standard Industrial Classification </w:t>
            </w:r>
          </w:p>
        </w:tc>
      </w:tr>
      <w:tr w:rsidR="00C30033" w:rsidRPr="00736593" w14:paraId="573669F0" w14:textId="77777777" w:rsidTr="00C70998">
        <w:trPr>
          <w:tblHeader w:val="0"/>
        </w:trPr>
        <w:tc>
          <w:tcPr>
            <w:tcW w:w="3005" w:type="dxa"/>
          </w:tcPr>
          <w:p w14:paraId="7010064B" w14:textId="77777777" w:rsidR="00C30033" w:rsidRPr="00B44C04" w:rsidRDefault="00C30033" w:rsidP="00C70998">
            <w:pPr>
              <w:rPr>
                <w:rFonts w:ascii="EC Square Sans Pro" w:hAnsi="EC Square Sans Pro"/>
                <w:spacing w:val="-5"/>
              </w:rPr>
            </w:pPr>
            <w:r w:rsidRPr="008F7C7E">
              <w:t xml:space="preserve">NACE </w:t>
            </w:r>
          </w:p>
        </w:tc>
        <w:tc>
          <w:tcPr>
            <w:tcW w:w="6066" w:type="dxa"/>
          </w:tcPr>
          <w:p w14:paraId="31CE6CF3" w14:textId="77777777" w:rsidR="00C30033" w:rsidRPr="00736593" w:rsidRDefault="00C30033" w:rsidP="00C70998">
            <w:pPr>
              <w:rPr>
                <w:lang w:eastAsia="en-GB"/>
              </w:rPr>
            </w:pPr>
            <w:r w:rsidRPr="008F7C7E">
              <w:t xml:space="preserve">Nomenclature of Economic Activities </w:t>
            </w:r>
          </w:p>
        </w:tc>
      </w:tr>
      <w:tr w:rsidR="00C30033" w:rsidRPr="00736593" w14:paraId="4ED2702B" w14:textId="77777777" w:rsidTr="00C70998">
        <w:trPr>
          <w:tblHeader w:val="0"/>
        </w:trPr>
        <w:tc>
          <w:tcPr>
            <w:tcW w:w="3005" w:type="dxa"/>
          </w:tcPr>
          <w:p w14:paraId="5D8AF6D9" w14:textId="77777777" w:rsidR="00C30033" w:rsidRPr="00B44C04" w:rsidRDefault="00C30033" w:rsidP="00C70998">
            <w:pPr>
              <w:rPr>
                <w:rFonts w:ascii="EC Square Sans Pro" w:hAnsi="EC Square Sans Pro"/>
                <w:spacing w:val="-5"/>
              </w:rPr>
            </w:pPr>
            <w:r w:rsidRPr="008F7C7E">
              <w:t xml:space="preserve">NCI </w:t>
            </w:r>
          </w:p>
        </w:tc>
        <w:tc>
          <w:tcPr>
            <w:tcW w:w="6066" w:type="dxa"/>
          </w:tcPr>
          <w:p w14:paraId="372CDACB" w14:textId="77777777" w:rsidR="00C30033" w:rsidRPr="00736593" w:rsidRDefault="00C30033" w:rsidP="00C70998">
            <w:pPr>
              <w:rPr>
                <w:lang w:eastAsia="en-GB"/>
              </w:rPr>
            </w:pPr>
            <w:r w:rsidRPr="008F7C7E">
              <w:t xml:space="preserve">Normalised citation </w:t>
            </w:r>
          </w:p>
        </w:tc>
      </w:tr>
      <w:tr w:rsidR="00C30033" w:rsidRPr="00736593" w14:paraId="1FD5BD9C" w14:textId="77777777" w:rsidTr="00C70998">
        <w:trPr>
          <w:tblHeader w:val="0"/>
        </w:trPr>
        <w:tc>
          <w:tcPr>
            <w:tcW w:w="3005" w:type="dxa"/>
          </w:tcPr>
          <w:p w14:paraId="7A25F3F7" w14:textId="77777777" w:rsidR="00C30033" w:rsidRPr="00B44C04" w:rsidRDefault="00C30033" w:rsidP="00C70998">
            <w:pPr>
              <w:rPr>
                <w:rFonts w:ascii="EC Square Sans Pro" w:hAnsi="EC Square Sans Pro"/>
                <w:spacing w:val="-5"/>
              </w:rPr>
            </w:pPr>
            <w:r w:rsidRPr="008F7C7E">
              <w:t xml:space="preserve">index R&amp;D </w:t>
            </w:r>
          </w:p>
        </w:tc>
        <w:tc>
          <w:tcPr>
            <w:tcW w:w="6066" w:type="dxa"/>
          </w:tcPr>
          <w:p w14:paraId="1D0D3C79" w14:textId="77777777" w:rsidR="00C30033" w:rsidRPr="00736593" w:rsidRDefault="00C30033" w:rsidP="00C70998">
            <w:pPr>
              <w:rPr>
                <w:lang w:eastAsia="en-GB"/>
              </w:rPr>
            </w:pPr>
            <w:r w:rsidRPr="008F7C7E">
              <w:t xml:space="preserve">Research and development </w:t>
            </w:r>
          </w:p>
        </w:tc>
      </w:tr>
      <w:tr w:rsidR="00C30033" w:rsidRPr="00736593" w14:paraId="760AE701" w14:textId="77777777" w:rsidTr="00C70998">
        <w:trPr>
          <w:tblHeader w:val="0"/>
        </w:trPr>
        <w:tc>
          <w:tcPr>
            <w:tcW w:w="3005" w:type="dxa"/>
          </w:tcPr>
          <w:p w14:paraId="65D7C05E" w14:textId="77777777" w:rsidR="00C30033" w:rsidRPr="00B44C04" w:rsidRDefault="00C30033" w:rsidP="00C70998">
            <w:pPr>
              <w:rPr>
                <w:rFonts w:ascii="EC Square Sans Pro" w:hAnsi="EC Square Sans Pro"/>
                <w:spacing w:val="-5"/>
              </w:rPr>
            </w:pPr>
            <w:r w:rsidRPr="008F7C7E">
              <w:t xml:space="preserve">SBS </w:t>
            </w:r>
          </w:p>
        </w:tc>
        <w:tc>
          <w:tcPr>
            <w:tcW w:w="6066" w:type="dxa"/>
          </w:tcPr>
          <w:p w14:paraId="20FBC6EB" w14:textId="77777777" w:rsidR="00C30033" w:rsidRPr="00736593" w:rsidRDefault="00C30033" w:rsidP="00C70998">
            <w:pPr>
              <w:rPr>
                <w:lang w:eastAsia="en-GB"/>
              </w:rPr>
            </w:pPr>
            <w:r w:rsidRPr="008F7C7E">
              <w:t xml:space="preserve">Structural business statistics </w:t>
            </w:r>
            <w:r>
              <w:t>–</w:t>
            </w:r>
            <w:r w:rsidRPr="008F7C7E">
              <w:t xml:space="preserve"> Eurostat </w:t>
            </w:r>
          </w:p>
        </w:tc>
      </w:tr>
      <w:tr w:rsidR="00C30033" w:rsidRPr="00736593" w14:paraId="74021607" w14:textId="77777777" w:rsidTr="00C70998">
        <w:trPr>
          <w:tblHeader w:val="0"/>
        </w:trPr>
        <w:tc>
          <w:tcPr>
            <w:tcW w:w="3005" w:type="dxa"/>
          </w:tcPr>
          <w:p w14:paraId="1B4D1610" w14:textId="77777777" w:rsidR="00C30033" w:rsidRPr="00B44C04" w:rsidRDefault="00C30033" w:rsidP="00C70998">
            <w:pPr>
              <w:rPr>
                <w:rFonts w:ascii="EC Square Sans Pro" w:hAnsi="EC Square Sans Pro"/>
                <w:spacing w:val="-5"/>
              </w:rPr>
            </w:pPr>
            <w:r w:rsidRPr="008F7C7E">
              <w:t xml:space="preserve">SITC </w:t>
            </w:r>
          </w:p>
        </w:tc>
        <w:tc>
          <w:tcPr>
            <w:tcW w:w="6066" w:type="dxa"/>
          </w:tcPr>
          <w:p w14:paraId="775431A9" w14:textId="77777777" w:rsidR="00C30033" w:rsidRPr="00736593" w:rsidRDefault="00C30033" w:rsidP="00C70998">
            <w:pPr>
              <w:rPr>
                <w:lang w:eastAsia="en-GB"/>
              </w:rPr>
            </w:pPr>
            <w:r w:rsidRPr="008F7C7E">
              <w:t>Standard international trade classification S&amp;T Science and</w:t>
            </w:r>
            <w:r>
              <w:rPr>
                <w:rFonts w:ascii="Calibri" w:hAnsi="Calibri" w:cs="Calibri"/>
              </w:rPr>
              <w:t> </w:t>
            </w:r>
            <w:r w:rsidRPr="008F7C7E">
              <w:t>technology</w:t>
            </w:r>
          </w:p>
        </w:tc>
      </w:tr>
    </w:tbl>
    <w:p w14:paraId="0F1411A4" w14:textId="77777777" w:rsidR="00C30033" w:rsidRPr="00736593" w:rsidRDefault="00C30033" w:rsidP="00C30033">
      <w:pPr>
        <w:pStyle w:val="JRCText"/>
        <w:rPr>
          <w:lang w:eastAsia="en-GB"/>
        </w:rPr>
      </w:pPr>
    </w:p>
    <w:p w14:paraId="0FF5873D" w14:textId="77777777" w:rsidR="00C30033" w:rsidRDefault="00C30033" w:rsidP="00C30033">
      <w:pPr>
        <w:pStyle w:val="JRCText"/>
        <w:rPr>
          <w:color w:val="FF0000"/>
        </w:rPr>
        <w:sectPr w:rsidR="00C30033" w:rsidSect="00C30033">
          <w:pgSz w:w="11906" w:h="16838" w:code="9"/>
          <w:pgMar w:top="1418" w:right="1418" w:bottom="1418" w:left="1418" w:header="709" w:footer="709" w:gutter="0"/>
          <w:cols w:space="708"/>
          <w:docGrid w:linePitch="360"/>
        </w:sectPr>
      </w:pPr>
    </w:p>
    <w:p w14:paraId="5951EDA6" w14:textId="77777777" w:rsidR="00C30033" w:rsidRPr="00736593" w:rsidRDefault="00C30033" w:rsidP="00BA1E77">
      <w:pPr>
        <w:pStyle w:val="JRCLevel-1title"/>
        <w:numPr>
          <w:ilvl w:val="0"/>
          <w:numId w:val="0"/>
        </w:numPr>
        <w:ind w:left="432" w:hanging="432"/>
        <w:rPr>
          <w:bCs/>
          <w:color w:val="FF0000"/>
        </w:rPr>
      </w:pPr>
      <w:bookmarkStart w:id="111" w:name="_Toc220918868"/>
      <w:bookmarkStart w:id="112" w:name="_Toc221016442"/>
      <w:r w:rsidRPr="00BA1E77">
        <w:rPr>
          <w:rFonts w:eastAsia="Calibri"/>
          <w:b/>
          <w:bCs/>
        </w:rPr>
        <w:lastRenderedPageBreak/>
        <w:t>List of figures</w:t>
      </w:r>
      <w:bookmarkEnd w:id="111"/>
      <w:bookmarkEnd w:id="112"/>
      <w:r w:rsidRPr="00736593">
        <w:t xml:space="preserve"> </w:t>
      </w:r>
    </w:p>
    <w:p w14:paraId="778BF11C" w14:textId="70375A2F" w:rsidR="008F7114" w:rsidRDefault="00C30033">
      <w:pPr>
        <w:pStyle w:val="TableofFigures"/>
        <w:rPr>
          <w:rFonts w:asciiTheme="minorHAnsi" w:eastAsiaTheme="minorEastAsia" w:hAnsiTheme="minorHAnsi" w:cstheme="minorBidi"/>
          <w:noProof/>
          <w:kern w:val="2"/>
          <w:sz w:val="24"/>
          <w:szCs w:val="24"/>
          <w:lang w:val="en-150" w:eastAsia="en-150"/>
          <w14:ligatures w14:val="standardContextual"/>
        </w:rPr>
      </w:pPr>
      <w:r w:rsidRPr="00736593">
        <w:fldChar w:fldCharType="begin"/>
      </w:r>
      <w:r w:rsidRPr="00736593">
        <w:instrText xml:space="preserve"> TOC \f F \h \z \t "JRC_Figure_caption" \c  \* MERGEFORMAT </w:instrText>
      </w:r>
      <w:r w:rsidRPr="00736593">
        <w:fldChar w:fldCharType="separate"/>
      </w:r>
      <w:hyperlink w:anchor="_Toc221271680" w:history="1">
        <w:r w:rsidR="008F7114" w:rsidRPr="003B758D">
          <w:rPr>
            <w:rStyle w:val="Hyperlink"/>
            <w:b/>
            <w:bCs/>
            <w:noProof/>
          </w:rPr>
          <w:t>Figure 1.</w:t>
        </w:r>
        <w:r w:rsidR="008F7114" w:rsidRPr="003B758D">
          <w:rPr>
            <w:rStyle w:val="Hyperlink"/>
            <w:noProof/>
          </w:rPr>
          <w:t xml:space="preserve"> Evolution of Gross domestic product at current prices reference year 2014 (2014-2023)</w:t>
        </w:r>
        <w:r w:rsidR="008F7114">
          <w:rPr>
            <w:noProof/>
            <w:webHidden/>
          </w:rPr>
          <w:tab/>
        </w:r>
        <w:r w:rsidR="008F7114">
          <w:rPr>
            <w:noProof/>
            <w:webHidden/>
          </w:rPr>
          <w:fldChar w:fldCharType="begin"/>
        </w:r>
        <w:r w:rsidR="008F7114">
          <w:rPr>
            <w:noProof/>
            <w:webHidden/>
          </w:rPr>
          <w:instrText xml:space="preserve"> PAGEREF _Toc221271680 \h </w:instrText>
        </w:r>
        <w:r w:rsidR="008F7114">
          <w:rPr>
            <w:noProof/>
            <w:webHidden/>
          </w:rPr>
        </w:r>
        <w:r w:rsidR="008F7114">
          <w:rPr>
            <w:noProof/>
            <w:webHidden/>
          </w:rPr>
          <w:fldChar w:fldCharType="separate"/>
        </w:r>
        <w:r w:rsidR="008F7114">
          <w:rPr>
            <w:noProof/>
            <w:webHidden/>
          </w:rPr>
          <w:t>6</w:t>
        </w:r>
        <w:r w:rsidR="008F7114">
          <w:rPr>
            <w:noProof/>
            <w:webHidden/>
          </w:rPr>
          <w:fldChar w:fldCharType="end"/>
        </w:r>
      </w:hyperlink>
    </w:p>
    <w:p w14:paraId="4EADAED1" w14:textId="076AFB41" w:rsidR="008F7114" w:rsidRDefault="008F7114">
      <w:pPr>
        <w:pStyle w:val="TableofFigures"/>
        <w:rPr>
          <w:rFonts w:asciiTheme="minorHAnsi" w:eastAsiaTheme="minorEastAsia" w:hAnsiTheme="minorHAnsi" w:cstheme="minorBidi"/>
          <w:noProof/>
          <w:kern w:val="2"/>
          <w:sz w:val="24"/>
          <w:szCs w:val="24"/>
          <w:lang w:val="en-150" w:eastAsia="en-150"/>
          <w14:ligatures w14:val="standardContextual"/>
        </w:rPr>
      </w:pPr>
      <w:hyperlink w:anchor="_Toc221271681" w:history="1">
        <w:r w:rsidRPr="003B758D">
          <w:rPr>
            <w:rStyle w:val="Hyperlink"/>
            <w:b/>
            <w:bCs/>
            <w:noProof/>
          </w:rPr>
          <w:t>Figure 2.</w:t>
        </w:r>
        <w:r w:rsidRPr="003B758D">
          <w:rPr>
            <w:rStyle w:val="Hyperlink"/>
            <w:noProof/>
          </w:rPr>
          <w:t xml:space="preserve"> </w:t>
        </w:r>
        <w:r w:rsidRPr="003B758D">
          <w:rPr>
            <w:rStyle w:val="Hyperlink"/>
            <w:iCs/>
            <w:noProof/>
          </w:rPr>
          <w:t xml:space="preserve">GDP structure at </w:t>
        </w:r>
        <w:r w:rsidRPr="003B758D">
          <w:rPr>
            <w:rStyle w:val="Hyperlink"/>
            <w:noProof/>
          </w:rPr>
          <w:t>current</w:t>
        </w:r>
        <w:r w:rsidRPr="003B758D">
          <w:rPr>
            <w:rStyle w:val="Hyperlink"/>
            <w:iCs/>
            <w:noProof/>
          </w:rPr>
          <w:t xml:space="preserve"> prices (2023)</w:t>
        </w:r>
        <w:r>
          <w:rPr>
            <w:noProof/>
            <w:webHidden/>
          </w:rPr>
          <w:tab/>
        </w:r>
        <w:r>
          <w:rPr>
            <w:noProof/>
            <w:webHidden/>
          </w:rPr>
          <w:fldChar w:fldCharType="begin"/>
        </w:r>
        <w:r>
          <w:rPr>
            <w:noProof/>
            <w:webHidden/>
          </w:rPr>
          <w:instrText xml:space="preserve"> PAGEREF _Toc221271681 \h </w:instrText>
        </w:r>
        <w:r>
          <w:rPr>
            <w:noProof/>
            <w:webHidden/>
          </w:rPr>
        </w:r>
        <w:r>
          <w:rPr>
            <w:noProof/>
            <w:webHidden/>
          </w:rPr>
          <w:fldChar w:fldCharType="separate"/>
        </w:r>
        <w:r>
          <w:rPr>
            <w:noProof/>
            <w:webHidden/>
          </w:rPr>
          <w:t>7</w:t>
        </w:r>
        <w:r>
          <w:rPr>
            <w:noProof/>
            <w:webHidden/>
          </w:rPr>
          <w:fldChar w:fldCharType="end"/>
        </w:r>
      </w:hyperlink>
    </w:p>
    <w:p w14:paraId="78185FAA" w14:textId="5A6542DD" w:rsidR="008F7114" w:rsidRDefault="008F7114">
      <w:pPr>
        <w:pStyle w:val="TableofFigures"/>
        <w:rPr>
          <w:rFonts w:asciiTheme="minorHAnsi" w:eastAsiaTheme="minorEastAsia" w:hAnsiTheme="minorHAnsi" w:cstheme="minorBidi"/>
          <w:noProof/>
          <w:kern w:val="2"/>
          <w:sz w:val="24"/>
          <w:szCs w:val="24"/>
          <w:lang w:val="en-150" w:eastAsia="en-150"/>
          <w14:ligatures w14:val="standardContextual"/>
        </w:rPr>
      </w:pPr>
      <w:hyperlink w:anchor="_Toc221271682" w:history="1">
        <w:r w:rsidRPr="003B758D">
          <w:rPr>
            <w:rStyle w:val="Hyperlink"/>
            <w:b/>
            <w:bCs/>
            <w:noProof/>
          </w:rPr>
          <w:t>Figure 3.</w:t>
        </w:r>
        <w:r w:rsidRPr="003B758D">
          <w:rPr>
            <w:rStyle w:val="Hyperlink"/>
            <w:noProof/>
          </w:rPr>
          <w:t xml:space="preserve"> </w:t>
        </w:r>
        <w:r w:rsidRPr="003B758D">
          <w:rPr>
            <w:rStyle w:val="Hyperlink"/>
            <w:iCs/>
            <w:noProof/>
          </w:rPr>
          <w:t>Distribution</w:t>
        </w:r>
        <w:r w:rsidRPr="003B758D">
          <w:rPr>
            <w:rStyle w:val="Hyperlink"/>
            <w:noProof/>
          </w:rPr>
          <w:t xml:space="preserve"> of business entities by municipality</w:t>
        </w:r>
        <w:r>
          <w:rPr>
            <w:noProof/>
            <w:webHidden/>
          </w:rPr>
          <w:tab/>
        </w:r>
        <w:r>
          <w:rPr>
            <w:noProof/>
            <w:webHidden/>
          </w:rPr>
          <w:fldChar w:fldCharType="begin"/>
        </w:r>
        <w:r>
          <w:rPr>
            <w:noProof/>
            <w:webHidden/>
          </w:rPr>
          <w:instrText xml:space="preserve"> PAGEREF _Toc221271682 \h </w:instrText>
        </w:r>
        <w:r>
          <w:rPr>
            <w:noProof/>
            <w:webHidden/>
          </w:rPr>
        </w:r>
        <w:r>
          <w:rPr>
            <w:noProof/>
            <w:webHidden/>
          </w:rPr>
          <w:fldChar w:fldCharType="separate"/>
        </w:r>
        <w:r>
          <w:rPr>
            <w:noProof/>
            <w:webHidden/>
          </w:rPr>
          <w:t>8</w:t>
        </w:r>
        <w:r>
          <w:rPr>
            <w:noProof/>
            <w:webHidden/>
          </w:rPr>
          <w:fldChar w:fldCharType="end"/>
        </w:r>
      </w:hyperlink>
    </w:p>
    <w:p w14:paraId="5A1AF17F" w14:textId="46EF25E0" w:rsidR="008F7114" w:rsidRDefault="008F7114">
      <w:pPr>
        <w:pStyle w:val="TableofFigures"/>
        <w:rPr>
          <w:rFonts w:asciiTheme="minorHAnsi" w:eastAsiaTheme="minorEastAsia" w:hAnsiTheme="minorHAnsi" w:cstheme="minorBidi"/>
          <w:noProof/>
          <w:kern w:val="2"/>
          <w:sz w:val="24"/>
          <w:szCs w:val="24"/>
          <w:lang w:val="en-150" w:eastAsia="en-150"/>
          <w14:ligatures w14:val="standardContextual"/>
        </w:rPr>
      </w:pPr>
      <w:hyperlink w:anchor="_Toc221271683" w:history="1">
        <w:r w:rsidRPr="003B758D">
          <w:rPr>
            <w:rStyle w:val="Hyperlink"/>
            <w:b/>
            <w:bCs/>
            <w:noProof/>
          </w:rPr>
          <w:t>Figure 4.</w:t>
        </w:r>
        <w:r w:rsidRPr="003B758D">
          <w:rPr>
            <w:rStyle w:val="Hyperlink"/>
            <w:noProof/>
          </w:rPr>
          <w:t xml:space="preserve"> Percentage of business entities by sector</w:t>
        </w:r>
        <w:r>
          <w:rPr>
            <w:noProof/>
            <w:webHidden/>
          </w:rPr>
          <w:tab/>
        </w:r>
        <w:r>
          <w:rPr>
            <w:noProof/>
            <w:webHidden/>
          </w:rPr>
          <w:fldChar w:fldCharType="begin"/>
        </w:r>
        <w:r>
          <w:rPr>
            <w:noProof/>
            <w:webHidden/>
          </w:rPr>
          <w:instrText xml:space="preserve"> PAGEREF _Toc221271683 \h </w:instrText>
        </w:r>
        <w:r>
          <w:rPr>
            <w:noProof/>
            <w:webHidden/>
          </w:rPr>
        </w:r>
        <w:r>
          <w:rPr>
            <w:noProof/>
            <w:webHidden/>
          </w:rPr>
          <w:fldChar w:fldCharType="separate"/>
        </w:r>
        <w:r>
          <w:rPr>
            <w:noProof/>
            <w:webHidden/>
          </w:rPr>
          <w:t>8</w:t>
        </w:r>
        <w:r>
          <w:rPr>
            <w:noProof/>
            <w:webHidden/>
          </w:rPr>
          <w:fldChar w:fldCharType="end"/>
        </w:r>
      </w:hyperlink>
    </w:p>
    <w:p w14:paraId="56AF6EFA" w14:textId="38CF4854" w:rsidR="008F7114" w:rsidRDefault="008F7114">
      <w:pPr>
        <w:pStyle w:val="TableofFigures"/>
        <w:rPr>
          <w:rFonts w:asciiTheme="minorHAnsi" w:eastAsiaTheme="minorEastAsia" w:hAnsiTheme="minorHAnsi" w:cstheme="minorBidi"/>
          <w:noProof/>
          <w:kern w:val="2"/>
          <w:sz w:val="24"/>
          <w:szCs w:val="24"/>
          <w:lang w:val="en-150" w:eastAsia="en-150"/>
          <w14:ligatures w14:val="standardContextual"/>
        </w:rPr>
      </w:pPr>
      <w:hyperlink w:anchor="_Toc221271684" w:history="1">
        <w:r w:rsidRPr="003B758D">
          <w:rPr>
            <w:rStyle w:val="Hyperlink"/>
            <w:b/>
            <w:bCs/>
            <w:noProof/>
          </w:rPr>
          <w:t>Figure 5.</w:t>
        </w:r>
        <w:r w:rsidRPr="003B758D">
          <w:rPr>
            <w:rStyle w:val="Hyperlink"/>
            <w:noProof/>
          </w:rPr>
          <w:t xml:space="preserve"> Percentage of business entities by sector and municipality</w:t>
        </w:r>
        <w:r>
          <w:rPr>
            <w:noProof/>
            <w:webHidden/>
          </w:rPr>
          <w:tab/>
        </w:r>
        <w:r>
          <w:rPr>
            <w:noProof/>
            <w:webHidden/>
          </w:rPr>
          <w:fldChar w:fldCharType="begin"/>
        </w:r>
        <w:r>
          <w:rPr>
            <w:noProof/>
            <w:webHidden/>
          </w:rPr>
          <w:instrText xml:space="preserve"> PAGEREF _Toc221271684 \h </w:instrText>
        </w:r>
        <w:r>
          <w:rPr>
            <w:noProof/>
            <w:webHidden/>
          </w:rPr>
        </w:r>
        <w:r>
          <w:rPr>
            <w:noProof/>
            <w:webHidden/>
          </w:rPr>
          <w:fldChar w:fldCharType="separate"/>
        </w:r>
        <w:r>
          <w:rPr>
            <w:noProof/>
            <w:webHidden/>
          </w:rPr>
          <w:t>9</w:t>
        </w:r>
        <w:r>
          <w:rPr>
            <w:noProof/>
            <w:webHidden/>
          </w:rPr>
          <w:fldChar w:fldCharType="end"/>
        </w:r>
      </w:hyperlink>
    </w:p>
    <w:p w14:paraId="23413E7F" w14:textId="1216CCCE" w:rsidR="008F7114" w:rsidRDefault="008F7114">
      <w:pPr>
        <w:pStyle w:val="TableofFigures"/>
        <w:rPr>
          <w:rFonts w:asciiTheme="minorHAnsi" w:eastAsiaTheme="minorEastAsia" w:hAnsiTheme="minorHAnsi" w:cstheme="minorBidi"/>
          <w:noProof/>
          <w:kern w:val="2"/>
          <w:sz w:val="24"/>
          <w:szCs w:val="24"/>
          <w:lang w:val="en-150" w:eastAsia="en-150"/>
          <w14:ligatures w14:val="standardContextual"/>
        </w:rPr>
      </w:pPr>
      <w:hyperlink w:anchor="_Toc221271685" w:history="1">
        <w:r w:rsidRPr="003B758D">
          <w:rPr>
            <w:rStyle w:val="Hyperlink"/>
            <w:b/>
            <w:bCs/>
            <w:noProof/>
          </w:rPr>
          <w:t>Figure 6.</w:t>
        </w:r>
        <w:r w:rsidRPr="003B758D">
          <w:rPr>
            <w:rStyle w:val="Hyperlink"/>
            <w:noProof/>
          </w:rPr>
          <w:t xml:space="preserve"> Firms’ sales percentage by city (2018-2022)</w:t>
        </w:r>
        <w:r>
          <w:rPr>
            <w:noProof/>
            <w:webHidden/>
          </w:rPr>
          <w:tab/>
        </w:r>
        <w:r>
          <w:rPr>
            <w:noProof/>
            <w:webHidden/>
          </w:rPr>
          <w:fldChar w:fldCharType="begin"/>
        </w:r>
        <w:r>
          <w:rPr>
            <w:noProof/>
            <w:webHidden/>
          </w:rPr>
          <w:instrText xml:space="preserve"> PAGEREF _Toc221271685 \h </w:instrText>
        </w:r>
        <w:r>
          <w:rPr>
            <w:noProof/>
            <w:webHidden/>
          </w:rPr>
        </w:r>
        <w:r>
          <w:rPr>
            <w:noProof/>
            <w:webHidden/>
          </w:rPr>
          <w:fldChar w:fldCharType="separate"/>
        </w:r>
        <w:r>
          <w:rPr>
            <w:noProof/>
            <w:webHidden/>
          </w:rPr>
          <w:t>10</w:t>
        </w:r>
        <w:r>
          <w:rPr>
            <w:noProof/>
            <w:webHidden/>
          </w:rPr>
          <w:fldChar w:fldCharType="end"/>
        </w:r>
      </w:hyperlink>
    </w:p>
    <w:p w14:paraId="1907412A" w14:textId="31B8B218" w:rsidR="008F7114" w:rsidRDefault="008F7114">
      <w:pPr>
        <w:pStyle w:val="TableofFigures"/>
        <w:rPr>
          <w:rFonts w:asciiTheme="minorHAnsi" w:eastAsiaTheme="minorEastAsia" w:hAnsiTheme="minorHAnsi" w:cstheme="minorBidi"/>
          <w:noProof/>
          <w:kern w:val="2"/>
          <w:sz w:val="24"/>
          <w:szCs w:val="24"/>
          <w:lang w:val="en-150" w:eastAsia="en-150"/>
          <w14:ligatures w14:val="standardContextual"/>
        </w:rPr>
      </w:pPr>
      <w:hyperlink w:anchor="_Toc221271686" w:history="1">
        <w:r w:rsidRPr="003B758D">
          <w:rPr>
            <w:rStyle w:val="Hyperlink"/>
            <w:b/>
            <w:bCs/>
            <w:noProof/>
          </w:rPr>
          <w:t>Figure 7.</w:t>
        </w:r>
        <w:r w:rsidRPr="003B758D">
          <w:rPr>
            <w:rStyle w:val="Hyperlink"/>
            <w:noProof/>
          </w:rPr>
          <w:t xml:space="preserve"> Most dynamic 3-digit sectors in terms of new firms (2017-2019)</w:t>
        </w:r>
        <w:r>
          <w:rPr>
            <w:noProof/>
            <w:webHidden/>
          </w:rPr>
          <w:tab/>
        </w:r>
        <w:r>
          <w:rPr>
            <w:noProof/>
            <w:webHidden/>
          </w:rPr>
          <w:fldChar w:fldCharType="begin"/>
        </w:r>
        <w:r>
          <w:rPr>
            <w:noProof/>
            <w:webHidden/>
          </w:rPr>
          <w:instrText xml:space="preserve"> PAGEREF _Toc221271686 \h </w:instrText>
        </w:r>
        <w:r>
          <w:rPr>
            <w:noProof/>
            <w:webHidden/>
          </w:rPr>
        </w:r>
        <w:r>
          <w:rPr>
            <w:noProof/>
            <w:webHidden/>
          </w:rPr>
          <w:fldChar w:fldCharType="separate"/>
        </w:r>
        <w:r>
          <w:rPr>
            <w:noProof/>
            <w:webHidden/>
          </w:rPr>
          <w:t>11</w:t>
        </w:r>
        <w:r>
          <w:rPr>
            <w:noProof/>
            <w:webHidden/>
          </w:rPr>
          <w:fldChar w:fldCharType="end"/>
        </w:r>
      </w:hyperlink>
    </w:p>
    <w:p w14:paraId="465BB67C" w14:textId="156400E4" w:rsidR="008F7114" w:rsidRDefault="008F7114">
      <w:pPr>
        <w:pStyle w:val="TableofFigures"/>
        <w:rPr>
          <w:rFonts w:asciiTheme="minorHAnsi" w:eastAsiaTheme="minorEastAsia" w:hAnsiTheme="minorHAnsi" w:cstheme="minorBidi"/>
          <w:noProof/>
          <w:kern w:val="2"/>
          <w:sz w:val="24"/>
          <w:szCs w:val="24"/>
          <w:lang w:val="en-150" w:eastAsia="en-150"/>
          <w14:ligatures w14:val="standardContextual"/>
        </w:rPr>
      </w:pPr>
      <w:hyperlink w:anchor="_Toc221271687" w:history="1">
        <w:r w:rsidRPr="003B758D">
          <w:rPr>
            <w:rStyle w:val="Hyperlink"/>
            <w:b/>
            <w:bCs/>
            <w:noProof/>
          </w:rPr>
          <w:t>Figure 8.</w:t>
        </w:r>
        <w:r w:rsidRPr="003B758D">
          <w:rPr>
            <w:rStyle w:val="Hyperlink"/>
            <w:noProof/>
          </w:rPr>
          <w:t xml:space="preserve"> Sales by industry – in percentage (2018-2022)</w:t>
        </w:r>
        <w:r>
          <w:rPr>
            <w:noProof/>
            <w:webHidden/>
          </w:rPr>
          <w:tab/>
        </w:r>
        <w:r>
          <w:rPr>
            <w:noProof/>
            <w:webHidden/>
          </w:rPr>
          <w:fldChar w:fldCharType="begin"/>
        </w:r>
        <w:r>
          <w:rPr>
            <w:noProof/>
            <w:webHidden/>
          </w:rPr>
          <w:instrText xml:space="preserve"> PAGEREF _Toc221271687 \h </w:instrText>
        </w:r>
        <w:r>
          <w:rPr>
            <w:noProof/>
            <w:webHidden/>
          </w:rPr>
        </w:r>
        <w:r>
          <w:rPr>
            <w:noProof/>
            <w:webHidden/>
          </w:rPr>
          <w:fldChar w:fldCharType="separate"/>
        </w:r>
        <w:r>
          <w:rPr>
            <w:noProof/>
            <w:webHidden/>
          </w:rPr>
          <w:t>11</w:t>
        </w:r>
        <w:r>
          <w:rPr>
            <w:noProof/>
            <w:webHidden/>
          </w:rPr>
          <w:fldChar w:fldCharType="end"/>
        </w:r>
      </w:hyperlink>
    </w:p>
    <w:p w14:paraId="47747ECD" w14:textId="1001833A" w:rsidR="008F7114" w:rsidRDefault="008F7114">
      <w:pPr>
        <w:pStyle w:val="TableofFigures"/>
        <w:rPr>
          <w:rFonts w:asciiTheme="minorHAnsi" w:eastAsiaTheme="minorEastAsia" w:hAnsiTheme="minorHAnsi" w:cstheme="minorBidi"/>
          <w:noProof/>
          <w:kern w:val="2"/>
          <w:sz w:val="24"/>
          <w:szCs w:val="24"/>
          <w:lang w:val="en-150" w:eastAsia="en-150"/>
          <w14:ligatures w14:val="standardContextual"/>
        </w:rPr>
      </w:pPr>
      <w:hyperlink w:anchor="_Toc221271688" w:history="1">
        <w:r w:rsidRPr="003B758D">
          <w:rPr>
            <w:rStyle w:val="Hyperlink"/>
            <w:b/>
            <w:bCs/>
            <w:noProof/>
          </w:rPr>
          <w:t>Figure 9.</w:t>
        </w:r>
        <w:r w:rsidRPr="003B758D">
          <w:rPr>
            <w:rStyle w:val="Hyperlink"/>
            <w:noProof/>
          </w:rPr>
          <w:t xml:space="preserve"> Total Exports (2012-2023) (USD million)</w:t>
        </w:r>
        <w:r>
          <w:rPr>
            <w:noProof/>
            <w:webHidden/>
          </w:rPr>
          <w:tab/>
        </w:r>
        <w:r>
          <w:rPr>
            <w:noProof/>
            <w:webHidden/>
          </w:rPr>
          <w:fldChar w:fldCharType="begin"/>
        </w:r>
        <w:r>
          <w:rPr>
            <w:noProof/>
            <w:webHidden/>
          </w:rPr>
          <w:instrText xml:space="preserve"> PAGEREF _Toc221271688 \h </w:instrText>
        </w:r>
        <w:r>
          <w:rPr>
            <w:noProof/>
            <w:webHidden/>
          </w:rPr>
        </w:r>
        <w:r>
          <w:rPr>
            <w:noProof/>
            <w:webHidden/>
          </w:rPr>
          <w:fldChar w:fldCharType="separate"/>
        </w:r>
        <w:r>
          <w:rPr>
            <w:noProof/>
            <w:webHidden/>
          </w:rPr>
          <w:t>14</w:t>
        </w:r>
        <w:r>
          <w:rPr>
            <w:noProof/>
            <w:webHidden/>
          </w:rPr>
          <w:fldChar w:fldCharType="end"/>
        </w:r>
      </w:hyperlink>
    </w:p>
    <w:p w14:paraId="5B314A73" w14:textId="0ABA1AA1" w:rsidR="008F7114" w:rsidRDefault="008F7114">
      <w:pPr>
        <w:pStyle w:val="TableofFigures"/>
        <w:rPr>
          <w:rFonts w:asciiTheme="minorHAnsi" w:eastAsiaTheme="minorEastAsia" w:hAnsiTheme="minorHAnsi" w:cstheme="minorBidi"/>
          <w:noProof/>
          <w:kern w:val="2"/>
          <w:sz w:val="24"/>
          <w:szCs w:val="24"/>
          <w:lang w:val="en-150" w:eastAsia="en-150"/>
          <w14:ligatures w14:val="standardContextual"/>
        </w:rPr>
      </w:pPr>
      <w:hyperlink w:anchor="_Toc221271689" w:history="1">
        <w:r w:rsidRPr="003B758D">
          <w:rPr>
            <w:rStyle w:val="Hyperlink"/>
            <w:b/>
            <w:bCs/>
            <w:noProof/>
          </w:rPr>
          <w:t>Figure 10.</w:t>
        </w:r>
        <w:r w:rsidRPr="003B758D">
          <w:rPr>
            <w:rStyle w:val="Hyperlink"/>
            <w:noProof/>
          </w:rPr>
          <w:t xml:space="preserve"> Top 10 exports per product category (HS Classification 2-digit) for the period 2019-2023 in percentage</w:t>
        </w:r>
        <w:r>
          <w:rPr>
            <w:noProof/>
            <w:webHidden/>
          </w:rPr>
          <w:tab/>
        </w:r>
        <w:r>
          <w:rPr>
            <w:noProof/>
            <w:webHidden/>
          </w:rPr>
          <w:fldChar w:fldCharType="begin"/>
        </w:r>
        <w:r>
          <w:rPr>
            <w:noProof/>
            <w:webHidden/>
          </w:rPr>
          <w:instrText xml:space="preserve"> PAGEREF _Toc221271689 \h </w:instrText>
        </w:r>
        <w:r>
          <w:rPr>
            <w:noProof/>
            <w:webHidden/>
          </w:rPr>
        </w:r>
        <w:r>
          <w:rPr>
            <w:noProof/>
            <w:webHidden/>
          </w:rPr>
          <w:fldChar w:fldCharType="separate"/>
        </w:r>
        <w:r>
          <w:rPr>
            <w:noProof/>
            <w:webHidden/>
          </w:rPr>
          <w:t>14</w:t>
        </w:r>
        <w:r>
          <w:rPr>
            <w:noProof/>
            <w:webHidden/>
          </w:rPr>
          <w:fldChar w:fldCharType="end"/>
        </w:r>
      </w:hyperlink>
    </w:p>
    <w:p w14:paraId="0D01FEAA" w14:textId="2790B6C1" w:rsidR="008F7114" w:rsidRDefault="008F7114">
      <w:pPr>
        <w:pStyle w:val="TableofFigures"/>
        <w:rPr>
          <w:rFonts w:asciiTheme="minorHAnsi" w:eastAsiaTheme="minorEastAsia" w:hAnsiTheme="minorHAnsi" w:cstheme="minorBidi"/>
          <w:noProof/>
          <w:kern w:val="2"/>
          <w:sz w:val="24"/>
          <w:szCs w:val="24"/>
          <w:lang w:val="en-150" w:eastAsia="en-150"/>
          <w14:ligatures w14:val="standardContextual"/>
        </w:rPr>
      </w:pPr>
      <w:hyperlink w:anchor="_Toc221271690" w:history="1">
        <w:r w:rsidRPr="003B758D">
          <w:rPr>
            <w:rStyle w:val="Hyperlink"/>
            <w:b/>
            <w:bCs/>
            <w:noProof/>
          </w:rPr>
          <w:t>Figure 11.</w:t>
        </w:r>
        <w:r w:rsidRPr="003B758D">
          <w:rPr>
            <w:rStyle w:val="Hyperlink"/>
            <w:noProof/>
          </w:rPr>
          <w:t xml:space="preserve"> Top 2 exports per product category (HS Classification 2-digit), breakdown 2019-2023 (USD million)</w:t>
        </w:r>
        <w:r>
          <w:rPr>
            <w:noProof/>
            <w:webHidden/>
          </w:rPr>
          <w:tab/>
        </w:r>
        <w:r>
          <w:rPr>
            <w:noProof/>
            <w:webHidden/>
          </w:rPr>
          <w:fldChar w:fldCharType="begin"/>
        </w:r>
        <w:r>
          <w:rPr>
            <w:noProof/>
            <w:webHidden/>
          </w:rPr>
          <w:instrText xml:space="preserve"> PAGEREF _Toc221271690 \h </w:instrText>
        </w:r>
        <w:r>
          <w:rPr>
            <w:noProof/>
            <w:webHidden/>
          </w:rPr>
        </w:r>
        <w:r>
          <w:rPr>
            <w:noProof/>
            <w:webHidden/>
          </w:rPr>
          <w:fldChar w:fldCharType="separate"/>
        </w:r>
        <w:r>
          <w:rPr>
            <w:noProof/>
            <w:webHidden/>
          </w:rPr>
          <w:t>15</w:t>
        </w:r>
        <w:r>
          <w:rPr>
            <w:noProof/>
            <w:webHidden/>
          </w:rPr>
          <w:fldChar w:fldCharType="end"/>
        </w:r>
      </w:hyperlink>
    </w:p>
    <w:p w14:paraId="20936DEA" w14:textId="5D8A79F5" w:rsidR="008F7114" w:rsidRDefault="008F7114">
      <w:pPr>
        <w:pStyle w:val="TableofFigures"/>
        <w:rPr>
          <w:rFonts w:asciiTheme="minorHAnsi" w:eastAsiaTheme="minorEastAsia" w:hAnsiTheme="minorHAnsi" w:cstheme="minorBidi"/>
          <w:noProof/>
          <w:kern w:val="2"/>
          <w:sz w:val="24"/>
          <w:szCs w:val="24"/>
          <w:lang w:val="en-150" w:eastAsia="en-150"/>
          <w14:ligatures w14:val="standardContextual"/>
        </w:rPr>
      </w:pPr>
      <w:hyperlink w:anchor="_Toc221271691" w:history="1">
        <w:r w:rsidRPr="003B758D">
          <w:rPr>
            <w:rStyle w:val="Hyperlink"/>
            <w:b/>
            <w:bCs/>
            <w:noProof/>
          </w:rPr>
          <w:t>Figure 12.</w:t>
        </w:r>
        <w:r w:rsidRPr="003B758D">
          <w:rPr>
            <w:rStyle w:val="Hyperlink"/>
            <w:noProof/>
          </w:rPr>
          <w:t xml:space="preserve"> Scientific publications (2010-2023)</w:t>
        </w:r>
        <w:r>
          <w:rPr>
            <w:noProof/>
            <w:webHidden/>
          </w:rPr>
          <w:tab/>
        </w:r>
        <w:r>
          <w:rPr>
            <w:noProof/>
            <w:webHidden/>
          </w:rPr>
          <w:fldChar w:fldCharType="begin"/>
        </w:r>
        <w:r>
          <w:rPr>
            <w:noProof/>
            <w:webHidden/>
          </w:rPr>
          <w:instrText xml:space="preserve"> PAGEREF _Toc221271691 \h </w:instrText>
        </w:r>
        <w:r>
          <w:rPr>
            <w:noProof/>
            <w:webHidden/>
          </w:rPr>
        </w:r>
        <w:r>
          <w:rPr>
            <w:noProof/>
            <w:webHidden/>
          </w:rPr>
          <w:fldChar w:fldCharType="separate"/>
        </w:r>
        <w:r>
          <w:rPr>
            <w:noProof/>
            <w:webHidden/>
          </w:rPr>
          <w:t>17</w:t>
        </w:r>
        <w:r>
          <w:rPr>
            <w:noProof/>
            <w:webHidden/>
          </w:rPr>
          <w:fldChar w:fldCharType="end"/>
        </w:r>
      </w:hyperlink>
    </w:p>
    <w:p w14:paraId="52EC7FA6" w14:textId="4EA49E39" w:rsidR="008F7114" w:rsidRDefault="008F7114">
      <w:pPr>
        <w:pStyle w:val="TableofFigures"/>
        <w:rPr>
          <w:rFonts w:asciiTheme="minorHAnsi" w:eastAsiaTheme="minorEastAsia" w:hAnsiTheme="minorHAnsi" w:cstheme="minorBidi"/>
          <w:noProof/>
          <w:kern w:val="2"/>
          <w:sz w:val="24"/>
          <w:szCs w:val="24"/>
          <w:lang w:val="en-150" w:eastAsia="en-150"/>
          <w14:ligatures w14:val="standardContextual"/>
        </w:rPr>
      </w:pPr>
      <w:hyperlink w:anchor="_Toc221271692" w:history="1">
        <w:r w:rsidRPr="003B758D">
          <w:rPr>
            <w:rStyle w:val="Hyperlink"/>
            <w:b/>
            <w:bCs/>
            <w:noProof/>
          </w:rPr>
          <w:t>Figure 13.</w:t>
        </w:r>
        <w:r w:rsidRPr="003B758D">
          <w:rPr>
            <w:rStyle w:val="Hyperlink"/>
            <w:noProof/>
          </w:rPr>
          <w:t xml:space="preserve"> Yearly citations of the Scientific publications (2010-2023)</w:t>
        </w:r>
        <w:r>
          <w:rPr>
            <w:noProof/>
            <w:webHidden/>
          </w:rPr>
          <w:tab/>
        </w:r>
        <w:r>
          <w:rPr>
            <w:noProof/>
            <w:webHidden/>
          </w:rPr>
          <w:fldChar w:fldCharType="begin"/>
        </w:r>
        <w:r>
          <w:rPr>
            <w:noProof/>
            <w:webHidden/>
          </w:rPr>
          <w:instrText xml:space="preserve"> PAGEREF _Toc221271692 \h </w:instrText>
        </w:r>
        <w:r>
          <w:rPr>
            <w:noProof/>
            <w:webHidden/>
          </w:rPr>
        </w:r>
        <w:r>
          <w:rPr>
            <w:noProof/>
            <w:webHidden/>
          </w:rPr>
          <w:fldChar w:fldCharType="separate"/>
        </w:r>
        <w:r>
          <w:rPr>
            <w:noProof/>
            <w:webHidden/>
          </w:rPr>
          <w:t>17</w:t>
        </w:r>
        <w:r>
          <w:rPr>
            <w:noProof/>
            <w:webHidden/>
          </w:rPr>
          <w:fldChar w:fldCharType="end"/>
        </w:r>
      </w:hyperlink>
    </w:p>
    <w:p w14:paraId="55E9F4BF" w14:textId="488E2F91" w:rsidR="008F7114" w:rsidRDefault="008F7114">
      <w:pPr>
        <w:pStyle w:val="TableofFigures"/>
        <w:rPr>
          <w:rFonts w:asciiTheme="minorHAnsi" w:eastAsiaTheme="minorEastAsia" w:hAnsiTheme="minorHAnsi" w:cstheme="minorBidi"/>
          <w:noProof/>
          <w:kern w:val="2"/>
          <w:sz w:val="24"/>
          <w:szCs w:val="24"/>
          <w:lang w:val="en-150" w:eastAsia="en-150"/>
          <w14:ligatures w14:val="standardContextual"/>
        </w:rPr>
      </w:pPr>
      <w:hyperlink w:anchor="_Toc221271693" w:history="1">
        <w:r w:rsidRPr="003B758D">
          <w:rPr>
            <w:rStyle w:val="Hyperlink"/>
            <w:b/>
            <w:bCs/>
            <w:noProof/>
          </w:rPr>
          <w:t>Figure 14.</w:t>
        </w:r>
        <w:r w:rsidRPr="003B758D">
          <w:rPr>
            <w:rStyle w:val="Hyperlink"/>
            <w:noProof/>
          </w:rPr>
          <w:t xml:space="preserve"> Graduated at university divided by basic, specialists, master and PhD (2018-2023)</w:t>
        </w:r>
        <w:r>
          <w:rPr>
            <w:noProof/>
            <w:webHidden/>
          </w:rPr>
          <w:tab/>
        </w:r>
        <w:r>
          <w:rPr>
            <w:noProof/>
            <w:webHidden/>
          </w:rPr>
          <w:fldChar w:fldCharType="begin"/>
        </w:r>
        <w:r>
          <w:rPr>
            <w:noProof/>
            <w:webHidden/>
          </w:rPr>
          <w:instrText xml:space="preserve"> PAGEREF _Toc221271693 \h </w:instrText>
        </w:r>
        <w:r>
          <w:rPr>
            <w:noProof/>
            <w:webHidden/>
          </w:rPr>
        </w:r>
        <w:r>
          <w:rPr>
            <w:noProof/>
            <w:webHidden/>
          </w:rPr>
          <w:fldChar w:fldCharType="separate"/>
        </w:r>
        <w:r>
          <w:rPr>
            <w:noProof/>
            <w:webHidden/>
          </w:rPr>
          <w:t>19</w:t>
        </w:r>
        <w:r>
          <w:rPr>
            <w:noProof/>
            <w:webHidden/>
          </w:rPr>
          <w:fldChar w:fldCharType="end"/>
        </w:r>
      </w:hyperlink>
    </w:p>
    <w:p w14:paraId="0B5F1D61" w14:textId="191E0EB7" w:rsidR="008F7114" w:rsidRDefault="008F7114">
      <w:pPr>
        <w:pStyle w:val="TableofFigures"/>
        <w:rPr>
          <w:rFonts w:asciiTheme="minorHAnsi" w:eastAsiaTheme="minorEastAsia" w:hAnsiTheme="minorHAnsi" w:cstheme="minorBidi"/>
          <w:noProof/>
          <w:kern w:val="2"/>
          <w:sz w:val="24"/>
          <w:szCs w:val="24"/>
          <w:lang w:val="en-150" w:eastAsia="en-150"/>
          <w14:ligatures w14:val="standardContextual"/>
        </w:rPr>
      </w:pPr>
      <w:hyperlink w:anchor="_Toc221271694" w:history="1">
        <w:r w:rsidRPr="003B758D">
          <w:rPr>
            <w:rStyle w:val="Hyperlink"/>
            <w:b/>
            <w:bCs/>
            <w:noProof/>
          </w:rPr>
          <w:t xml:space="preserve">Figure 15. </w:t>
        </w:r>
        <w:r w:rsidRPr="003B758D">
          <w:rPr>
            <w:rStyle w:val="Hyperlink"/>
            <w:noProof/>
          </w:rPr>
          <w:t>Graduated at university basic studies divided by public or private institutions (2018-2023)</w:t>
        </w:r>
        <w:r>
          <w:rPr>
            <w:noProof/>
            <w:webHidden/>
          </w:rPr>
          <w:tab/>
        </w:r>
        <w:r>
          <w:rPr>
            <w:noProof/>
            <w:webHidden/>
          </w:rPr>
          <w:fldChar w:fldCharType="begin"/>
        </w:r>
        <w:r>
          <w:rPr>
            <w:noProof/>
            <w:webHidden/>
          </w:rPr>
          <w:instrText xml:space="preserve"> PAGEREF _Toc221271694 \h </w:instrText>
        </w:r>
        <w:r>
          <w:rPr>
            <w:noProof/>
            <w:webHidden/>
          </w:rPr>
        </w:r>
        <w:r>
          <w:rPr>
            <w:noProof/>
            <w:webHidden/>
          </w:rPr>
          <w:fldChar w:fldCharType="separate"/>
        </w:r>
        <w:r>
          <w:rPr>
            <w:noProof/>
            <w:webHidden/>
          </w:rPr>
          <w:t>19</w:t>
        </w:r>
        <w:r>
          <w:rPr>
            <w:noProof/>
            <w:webHidden/>
          </w:rPr>
          <w:fldChar w:fldCharType="end"/>
        </w:r>
      </w:hyperlink>
    </w:p>
    <w:p w14:paraId="5AF6CB7B" w14:textId="4A6A315D" w:rsidR="008F7114" w:rsidRDefault="008F7114">
      <w:pPr>
        <w:pStyle w:val="TableofFigures"/>
        <w:rPr>
          <w:rFonts w:asciiTheme="minorHAnsi" w:eastAsiaTheme="minorEastAsia" w:hAnsiTheme="minorHAnsi" w:cstheme="minorBidi"/>
          <w:noProof/>
          <w:kern w:val="2"/>
          <w:sz w:val="24"/>
          <w:szCs w:val="24"/>
          <w:lang w:val="en-150" w:eastAsia="en-150"/>
          <w14:ligatures w14:val="standardContextual"/>
        </w:rPr>
      </w:pPr>
      <w:hyperlink w:anchor="_Toc221271695" w:history="1">
        <w:r w:rsidRPr="003B758D">
          <w:rPr>
            <w:rStyle w:val="Hyperlink"/>
            <w:b/>
            <w:bCs/>
            <w:noProof/>
          </w:rPr>
          <w:t>Figure 16.</w:t>
        </w:r>
        <w:r w:rsidRPr="003B758D">
          <w:rPr>
            <w:rStyle w:val="Hyperlink"/>
            <w:noProof/>
          </w:rPr>
          <w:t xml:space="preserve"> Graduated at university basic studies by gender (2018-2023)</w:t>
        </w:r>
        <w:r>
          <w:rPr>
            <w:noProof/>
            <w:webHidden/>
          </w:rPr>
          <w:tab/>
        </w:r>
        <w:r>
          <w:rPr>
            <w:noProof/>
            <w:webHidden/>
          </w:rPr>
          <w:fldChar w:fldCharType="begin"/>
        </w:r>
        <w:r>
          <w:rPr>
            <w:noProof/>
            <w:webHidden/>
          </w:rPr>
          <w:instrText xml:space="preserve"> PAGEREF _Toc221271695 \h </w:instrText>
        </w:r>
        <w:r>
          <w:rPr>
            <w:noProof/>
            <w:webHidden/>
          </w:rPr>
        </w:r>
        <w:r>
          <w:rPr>
            <w:noProof/>
            <w:webHidden/>
          </w:rPr>
          <w:fldChar w:fldCharType="separate"/>
        </w:r>
        <w:r>
          <w:rPr>
            <w:noProof/>
            <w:webHidden/>
          </w:rPr>
          <w:t>20</w:t>
        </w:r>
        <w:r>
          <w:rPr>
            <w:noProof/>
            <w:webHidden/>
          </w:rPr>
          <w:fldChar w:fldCharType="end"/>
        </w:r>
      </w:hyperlink>
    </w:p>
    <w:p w14:paraId="48E92532" w14:textId="4F129781" w:rsidR="008F7114" w:rsidRDefault="008F7114">
      <w:pPr>
        <w:pStyle w:val="TableofFigures"/>
        <w:rPr>
          <w:rFonts w:asciiTheme="minorHAnsi" w:eastAsiaTheme="minorEastAsia" w:hAnsiTheme="minorHAnsi" w:cstheme="minorBidi"/>
          <w:noProof/>
          <w:kern w:val="2"/>
          <w:sz w:val="24"/>
          <w:szCs w:val="24"/>
          <w:lang w:val="en-150" w:eastAsia="en-150"/>
          <w14:ligatures w14:val="standardContextual"/>
        </w:rPr>
      </w:pPr>
      <w:hyperlink w:anchor="_Toc221271696" w:history="1">
        <w:r w:rsidRPr="003B758D">
          <w:rPr>
            <w:rStyle w:val="Hyperlink"/>
            <w:b/>
            <w:bCs/>
            <w:noProof/>
          </w:rPr>
          <w:t>Figure 17.</w:t>
        </w:r>
        <w:r w:rsidRPr="003B758D">
          <w:rPr>
            <w:rStyle w:val="Hyperlink"/>
            <w:noProof/>
          </w:rPr>
          <w:t xml:space="preserve"> Global Innovation Index Western Balkans</w:t>
        </w:r>
        <w:r>
          <w:rPr>
            <w:noProof/>
            <w:webHidden/>
          </w:rPr>
          <w:tab/>
        </w:r>
        <w:r>
          <w:rPr>
            <w:noProof/>
            <w:webHidden/>
          </w:rPr>
          <w:fldChar w:fldCharType="begin"/>
        </w:r>
        <w:r>
          <w:rPr>
            <w:noProof/>
            <w:webHidden/>
          </w:rPr>
          <w:instrText xml:space="preserve"> PAGEREF _Toc221271696 \h </w:instrText>
        </w:r>
        <w:r>
          <w:rPr>
            <w:noProof/>
            <w:webHidden/>
          </w:rPr>
        </w:r>
        <w:r>
          <w:rPr>
            <w:noProof/>
            <w:webHidden/>
          </w:rPr>
          <w:fldChar w:fldCharType="separate"/>
        </w:r>
        <w:r>
          <w:rPr>
            <w:noProof/>
            <w:webHidden/>
          </w:rPr>
          <w:t>23</w:t>
        </w:r>
        <w:r>
          <w:rPr>
            <w:noProof/>
            <w:webHidden/>
          </w:rPr>
          <w:fldChar w:fldCharType="end"/>
        </w:r>
      </w:hyperlink>
    </w:p>
    <w:p w14:paraId="3344BE24" w14:textId="36E7F73C" w:rsidR="008F7114" w:rsidRDefault="008F7114">
      <w:pPr>
        <w:pStyle w:val="TableofFigures"/>
        <w:rPr>
          <w:rFonts w:asciiTheme="minorHAnsi" w:eastAsiaTheme="minorEastAsia" w:hAnsiTheme="minorHAnsi" w:cstheme="minorBidi"/>
          <w:noProof/>
          <w:kern w:val="2"/>
          <w:sz w:val="24"/>
          <w:szCs w:val="24"/>
          <w:lang w:val="en-150" w:eastAsia="en-150"/>
          <w14:ligatures w14:val="standardContextual"/>
        </w:rPr>
      </w:pPr>
      <w:hyperlink w:anchor="_Toc221271697" w:history="1">
        <w:r w:rsidRPr="003B758D">
          <w:rPr>
            <w:rStyle w:val="Hyperlink"/>
            <w:b/>
            <w:bCs/>
            <w:noProof/>
          </w:rPr>
          <w:t xml:space="preserve">Figure 18. </w:t>
        </w:r>
        <w:r w:rsidRPr="003B758D">
          <w:rPr>
            <w:rStyle w:val="Hyperlink"/>
            <w:noProof/>
          </w:rPr>
          <w:t>Knowledge and Technology Output Index Western Balkans</w:t>
        </w:r>
        <w:r>
          <w:rPr>
            <w:noProof/>
            <w:webHidden/>
          </w:rPr>
          <w:tab/>
        </w:r>
        <w:r>
          <w:rPr>
            <w:noProof/>
            <w:webHidden/>
          </w:rPr>
          <w:fldChar w:fldCharType="begin"/>
        </w:r>
        <w:r>
          <w:rPr>
            <w:noProof/>
            <w:webHidden/>
          </w:rPr>
          <w:instrText xml:space="preserve"> PAGEREF _Toc221271697 \h </w:instrText>
        </w:r>
        <w:r>
          <w:rPr>
            <w:noProof/>
            <w:webHidden/>
          </w:rPr>
        </w:r>
        <w:r>
          <w:rPr>
            <w:noProof/>
            <w:webHidden/>
          </w:rPr>
          <w:fldChar w:fldCharType="separate"/>
        </w:r>
        <w:r>
          <w:rPr>
            <w:noProof/>
            <w:webHidden/>
          </w:rPr>
          <w:t>24</w:t>
        </w:r>
        <w:r>
          <w:rPr>
            <w:noProof/>
            <w:webHidden/>
          </w:rPr>
          <w:fldChar w:fldCharType="end"/>
        </w:r>
      </w:hyperlink>
    </w:p>
    <w:p w14:paraId="6F3F2FC9" w14:textId="52D1330C" w:rsidR="008F7114" w:rsidRDefault="008F7114">
      <w:pPr>
        <w:pStyle w:val="TableofFigures"/>
        <w:rPr>
          <w:rFonts w:asciiTheme="minorHAnsi" w:eastAsiaTheme="minorEastAsia" w:hAnsiTheme="minorHAnsi" w:cstheme="minorBidi"/>
          <w:noProof/>
          <w:kern w:val="2"/>
          <w:sz w:val="24"/>
          <w:szCs w:val="24"/>
          <w:lang w:val="en-150" w:eastAsia="en-150"/>
          <w14:ligatures w14:val="standardContextual"/>
        </w:rPr>
      </w:pPr>
      <w:hyperlink w:anchor="_Toc221271698" w:history="1">
        <w:r w:rsidRPr="003B758D">
          <w:rPr>
            <w:rStyle w:val="Hyperlink"/>
            <w:b/>
            <w:bCs/>
            <w:noProof/>
          </w:rPr>
          <w:t>Figure 19.</w:t>
        </w:r>
        <w:r w:rsidRPr="003B758D">
          <w:rPr>
            <w:rStyle w:val="Hyperlink"/>
            <w:noProof/>
          </w:rPr>
          <w:t xml:space="preserve"> Software spending % of GDP Western Balkans</w:t>
        </w:r>
        <w:r>
          <w:rPr>
            <w:noProof/>
            <w:webHidden/>
          </w:rPr>
          <w:tab/>
        </w:r>
        <w:r>
          <w:rPr>
            <w:noProof/>
            <w:webHidden/>
          </w:rPr>
          <w:fldChar w:fldCharType="begin"/>
        </w:r>
        <w:r>
          <w:rPr>
            <w:noProof/>
            <w:webHidden/>
          </w:rPr>
          <w:instrText xml:space="preserve"> PAGEREF _Toc221271698 \h </w:instrText>
        </w:r>
        <w:r>
          <w:rPr>
            <w:noProof/>
            <w:webHidden/>
          </w:rPr>
        </w:r>
        <w:r>
          <w:rPr>
            <w:noProof/>
            <w:webHidden/>
          </w:rPr>
          <w:fldChar w:fldCharType="separate"/>
        </w:r>
        <w:r>
          <w:rPr>
            <w:noProof/>
            <w:webHidden/>
          </w:rPr>
          <w:t>24</w:t>
        </w:r>
        <w:r>
          <w:rPr>
            <w:noProof/>
            <w:webHidden/>
          </w:rPr>
          <w:fldChar w:fldCharType="end"/>
        </w:r>
      </w:hyperlink>
    </w:p>
    <w:p w14:paraId="66192183" w14:textId="21FE4EAF" w:rsidR="008F7114" w:rsidRDefault="008F7114">
      <w:pPr>
        <w:pStyle w:val="TableofFigures"/>
        <w:rPr>
          <w:rFonts w:asciiTheme="minorHAnsi" w:eastAsiaTheme="minorEastAsia" w:hAnsiTheme="minorHAnsi" w:cstheme="minorBidi"/>
          <w:noProof/>
          <w:kern w:val="2"/>
          <w:sz w:val="24"/>
          <w:szCs w:val="24"/>
          <w:lang w:val="en-150" w:eastAsia="en-150"/>
          <w14:ligatures w14:val="standardContextual"/>
        </w:rPr>
      </w:pPr>
      <w:hyperlink w:anchor="_Toc221271699" w:history="1">
        <w:r w:rsidRPr="003B758D">
          <w:rPr>
            <w:rStyle w:val="Hyperlink"/>
            <w:b/>
            <w:bCs/>
            <w:noProof/>
          </w:rPr>
          <w:t>Figure 20.</w:t>
        </w:r>
        <w:r w:rsidRPr="003B758D">
          <w:rPr>
            <w:rStyle w:val="Hyperlink"/>
            <w:noProof/>
          </w:rPr>
          <w:t xml:space="preserve"> Research and Development Score Western Balkans</w:t>
        </w:r>
        <w:r>
          <w:rPr>
            <w:noProof/>
            <w:webHidden/>
          </w:rPr>
          <w:tab/>
        </w:r>
        <w:r>
          <w:rPr>
            <w:noProof/>
            <w:webHidden/>
          </w:rPr>
          <w:fldChar w:fldCharType="begin"/>
        </w:r>
        <w:r>
          <w:rPr>
            <w:noProof/>
            <w:webHidden/>
          </w:rPr>
          <w:instrText xml:space="preserve"> PAGEREF _Toc221271699 \h </w:instrText>
        </w:r>
        <w:r>
          <w:rPr>
            <w:noProof/>
            <w:webHidden/>
          </w:rPr>
        </w:r>
        <w:r>
          <w:rPr>
            <w:noProof/>
            <w:webHidden/>
          </w:rPr>
          <w:fldChar w:fldCharType="separate"/>
        </w:r>
        <w:r>
          <w:rPr>
            <w:noProof/>
            <w:webHidden/>
          </w:rPr>
          <w:t>24</w:t>
        </w:r>
        <w:r>
          <w:rPr>
            <w:noProof/>
            <w:webHidden/>
          </w:rPr>
          <w:fldChar w:fldCharType="end"/>
        </w:r>
      </w:hyperlink>
    </w:p>
    <w:p w14:paraId="6D278337" w14:textId="64D83668" w:rsidR="008F7114" w:rsidRDefault="008F7114">
      <w:pPr>
        <w:pStyle w:val="TableofFigures"/>
        <w:rPr>
          <w:rFonts w:asciiTheme="minorHAnsi" w:eastAsiaTheme="minorEastAsia" w:hAnsiTheme="minorHAnsi" w:cstheme="minorBidi"/>
          <w:noProof/>
          <w:kern w:val="2"/>
          <w:sz w:val="24"/>
          <w:szCs w:val="24"/>
          <w:lang w:val="en-150" w:eastAsia="en-150"/>
          <w14:ligatures w14:val="standardContextual"/>
        </w:rPr>
      </w:pPr>
      <w:hyperlink w:anchor="_Toc221271700" w:history="1">
        <w:r w:rsidRPr="003B758D">
          <w:rPr>
            <w:rStyle w:val="Hyperlink"/>
            <w:b/>
            <w:bCs/>
            <w:noProof/>
          </w:rPr>
          <w:t>Figure 21.</w:t>
        </w:r>
        <w:r w:rsidRPr="003B758D">
          <w:rPr>
            <w:rStyle w:val="Hyperlink"/>
            <w:noProof/>
          </w:rPr>
          <w:t xml:space="preserve"> European Patent applications of Western Balkans from 2016 to 2023</w:t>
        </w:r>
        <w:r>
          <w:rPr>
            <w:noProof/>
            <w:webHidden/>
          </w:rPr>
          <w:tab/>
        </w:r>
        <w:r>
          <w:rPr>
            <w:noProof/>
            <w:webHidden/>
          </w:rPr>
          <w:fldChar w:fldCharType="begin"/>
        </w:r>
        <w:r>
          <w:rPr>
            <w:noProof/>
            <w:webHidden/>
          </w:rPr>
          <w:instrText xml:space="preserve"> PAGEREF _Toc221271700 \h </w:instrText>
        </w:r>
        <w:r>
          <w:rPr>
            <w:noProof/>
            <w:webHidden/>
          </w:rPr>
        </w:r>
        <w:r>
          <w:rPr>
            <w:noProof/>
            <w:webHidden/>
          </w:rPr>
          <w:fldChar w:fldCharType="separate"/>
        </w:r>
        <w:r>
          <w:rPr>
            <w:noProof/>
            <w:webHidden/>
          </w:rPr>
          <w:t>25</w:t>
        </w:r>
        <w:r>
          <w:rPr>
            <w:noProof/>
            <w:webHidden/>
          </w:rPr>
          <w:fldChar w:fldCharType="end"/>
        </w:r>
      </w:hyperlink>
    </w:p>
    <w:p w14:paraId="1FE1D303" w14:textId="461A4CD8" w:rsidR="008F7114" w:rsidRDefault="008F7114">
      <w:pPr>
        <w:pStyle w:val="TableofFigures"/>
        <w:rPr>
          <w:rFonts w:asciiTheme="minorHAnsi" w:eastAsiaTheme="minorEastAsia" w:hAnsiTheme="minorHAnsi" w:cstheme="minorBidi"/>
          <w:noProof/>
          <w:kern w:val="2"/>
          <w:sz w:val="24"/>
          <w:szCs w:val="24"/>
          <w:lang w:val="en-150" w:eastAsia="en-150"/>
          <w14:ligatures w14:val="standardContextual"/>
        </w:rPr>
      </w:pPr>
      <w:hyperlink w:anchor="_Toc221271701" w:history="1">
        <w:r w:rsidRPr="003B758D">
          <w:rPr>
            <w:rStyle w:val="Hyperlink"/>
            <w:b/>
            <w:bCs/>
            <w:noProof/>
          </w:rPr>
          <w:t>Figure 22.</w:t>
        </w:r>
        <w:r w:rsidRPr="003B758D">
          <w:rPr>
            <w:rStyle w:val="Hyperlink"/>
            <w:noProof/>
          </w:rPr>
          <w:t xml:space="preserve"> Percentage of firms with a website – considering year of birth</w:t>
        </w:r>
        <w:r>
          <w:rPr>
            <w:noProof/>
            <w:webHidden/>
          </w:rPr>
          <w:tab/>
        </w:r>
        <w:r>
          <w:rPr>
            <w:noProof/>
            <w:webHidden/>
          </w:rPr>
          <w:fldChar w:fldCharType="begin"/>
        </w:r>
        <w:r>
          <w:rPr>
            <w:noProof/>
            <w:webHidden/>
          </w:rPr>
          <w:instrText xml:space="preserve"> PAGEREF _Toc221271701 \h </w:instrText>
        </w:r>
        <w:r>
          <w:rPr>
            <w:noProof/>
            <w:webHidden/>
          </w:rPr>
        </w:r>
        <w:r>
          <w:rPr>
            <w:noProof/>
            <w:webHidden/>
          </w:rPr>
          <w:fldChar w:fldCharType="separate"/>
        </w:r>
        <w:r>
          <w:rPr>
            <w:noProof/>
            <w:webHidden/>
          </w:rPr>
          <w:t>27</w:t>
        </w:r>
        <w:r>
          <w:rPr>
            <w:noProof/>
            <w:webHidden/>
          </w:rPr>
          <w:fldChar w:fldCharType="end"/>
        </w:r>
      </w:hyperlink>
    </w:p>
    <w:p w14:paraId="3568E1A6" w14:textId="5BC55348" w:rsidR="008F7114" w:rsidRDefault="008F7114">
      <w:pPr>
        <w:pStyle w:val="TableofFigures"/>
        <w:rPr>
          <w:rFonts w:asciiTheme="minorHAnsi" w:eastAsiaTheme="minorEastAsia" w:hAnsiTheme="minorHAnsi" w:cstheme="minorBidi"/>
          <w:noProof/>
          <w:kern w:val="2"/>
          <w:sz w:val="24"/>
          <w:szCs w:val="24"/>
          <w:lang w:val="en-150" w:eastAsia="en-150"/>
          <w14:ligatures w14:val="standardContextual"/>
        </w:rPr>
      </w:pPr>
      <w:hyperlink w:anchor="_Toc221271702" w:history="1">
        <w:r w:rsidRPr="003B758D">
          <w:rPr>
            <w:rStyle w:val="Hyperlink"/>
            <w:b/>
            <w:bCs/>
            <w:noProof/>
          </w:rPr>
          <w:t>Figure 23.</w:t>
        </w:r>
        <w:r w:rsidRPr="003B758D">
          <w:rPr>
            <w:rStyle w:val="Hyperlink"/>
            <w:noProof/>
          </w:rPr>
          <w:t xml:space="preserve"> Most dynamic industrial sectors in terms of websites</w:t>
        </w:r>
        <w:r>
          <w:rPr>
            <w:noProof/>
            <w:webHidden/>
          </w:rPr>
          <w:tab/>
        </w:r>
        <w:r>
          <w:rPr>
            <w:noProof/>
            <w:webHidden/>
          </w:rPr>
          <w:fldChar w:fldCharType="begin"/>
        </w:r>
        <w:r>
          <w:rPr>
            <w:noProof/>
            <w:webHidden/>
          </w:rPr>
          <w:instrText xml:space="preserve"> PAGEREF _Toc221271702 \h </w:instrText>
        </w:r>
        <w:r>
          <w:rPr>
            <w:noProof/>
            <w:webHidden/>
          </w:rPr>
        </w:r>
        <w:r>
          <w:rPr>
            <w:noProof/>
            <w:webHidden/>
          </w:rPr>
          <w:fldChar w:fldCharType="separate"/>
        </w:r>
        <w:r>
          <w:rPr>
            <w:noProof/>
            <w:webHidden/>
          </w:rPr>
          <w:t>28</w:t>
        </w:r>
        <w:r>
          <w:rPr>
            <w:noProof/>
            <w:webHidden/>
          </w:rPr>
          <w:fldChar w:fldCharType="end"/>
        </w:r>
      </w:hyperlink>
    </w:p>
    <w:p w14:paraId="13A562B1" w14:textId="1F0AE07B" w:rsidR="008F7114" w:rsidRDefault="008F7114">
      <w:pPr>
        <w:pStyle w:val="TableofFigures"/>
        <w:rPr>
          <w:rFonts w:asciiTheme="minorHAnsi" w:eastAsiaTheme="minorEastAsia" w:hAnsiTheme="minorHAnsi" w:cstheme="minorBidi"/>
          <w:noProof/>
          <w:kern w:val="2"/>
          <w:sz w:val="24"/>
          <w:szCs w:val="24"/>
          <w:lang w:val="en-150" w:eastAsia="en-150"/>
          <w14:ligatures w14:val="standardContextual"/>
        </w:rPr>
      </w:pPr>
      <w:hyperlink w:anchor="_Toc221271703" w:history="1">
        <w:r w:rsidRPr="003B758D">
          <w:rPr>
            <w:rStyle w:val="Hyperlink"/>
            <w:b/>
            <w:bCs/>
            <w:noProof/>
          </w:rPr>
          <w:t>Figure 24.</w:t>
        </w:r>
        <w:r w:rsidRPr="003B758D">
          <w:rPr>
            <w:rStyle w:val="Hyperlink"/>
            <w:noProof/>
          </w:rPr>
          <w:t xml:space="preserve"> Percentage of online sales - comparison between Montenegro and Western Balkans</w:t>
        </w:r>
        <w:r>
          <w:rPr>
            <w:noProof/>
            <w:webHidden/>
          </w:rPr>
          <w:tab/>
        </w:r>
        <w:r>
          <w:rPr>
            <w:noProof/>
            <w:webHidden/>
          </w:rPr>
          <w:fldChar w:fldCharType="begin"/>
        </w:r>
        <w:r>
          <w:rPr>
            <w:noProof/>
            <w:webHidden/>
          </w:rPr>
          <w:instrText xml:space="preserve"> PAGEREF _Toc221271703 \h </w:instrText>
        </w:r>
        <w:r>
          <w:rPr>
            <w:noProof/>
            <w:webHidden/>
          </w:rPr>
        </w:r>
        <w:r>
          <w:rPr>
            <w:noProof/>
            <w:webHidden/>
          </w:rPr>
          <w:fldChar w:fldCharType="separate"/>
        </w:r>
        <w:r>
          <w:rPr>
            <w:noProof/>
            <w:webHidden/>
          </w:rPr>
          <w:t>29</w:t>
        </w:r>
        <w:r>
          <w:rPr>
            <w:noProof/>
            <w:webHidden/>
          </w:rPr>
          <w:fldChar w:fldCharType="end"/>
        </w:r>
      </w:hyperlink>
    </w:p>
    <w:p w14:paraId="7A362F90" w14:textId="4AC7DB6B" w:rsidR="00C30033" w:rsidRPr="00736593" w:rsidRDefault="00C30033" w:rsidP="00C30033">
      <w:pPr>
        <w:pStyle w:val="JRCText"/>
      </w:pPr>
      <w:r w:rsidRPr="00736593">
        <w:fldChar w:fldCharType="end"/>
      </w:r>
    </w:p>
    <w:p w14:paraId="0BCBA785" w14:textId="77777777" w:rsidR="00C30033" w:rsidRPr="00BA1E77" w:rsidRDefault="00C30033" w:rsidP="00BA1E77">
      <w:pPr>
        <w:pStyle w:val="JRCLevel-1title"/>
        <w:numPr>
          <w:ilvl w:val="0"/>
          <w:numId w:val="0"/>
        </w:numPr>
        <w:ind w:left="432" w:hanging="432"/>
        <w:rPr>
          <w:rFonts w:eastAsia="Calibri"/>
          <w:b/>
          <w:bCs/>
        </w:rPr>
      </w:pPr>
      <w:bookmarkStart w:id="113" w:name="_Toc220918869"/>
      <w:bookmarkStart w:id="114" w:name="_Toc221016443"/>
      <w:r w:rsidRPr="00BA1E77">
        <w:rPr>
          <w:rFonts w:eastAsia="Calibri"/>
          <w:b/>
          <w:bCs/>
        </w:rPr>
        <w:lastRenderedPageBreak/>
        <w:t>List of tables</w:t>
      </w:r>
      <w:bookmarkEnd w:id="113"/>
      <w:bookmarkEnd w:id="114"/>
      <w:r w:rsidRPr="00BA1E77">
        <w:rPr>
          <w:rFonts w:eastAsia="Calibri"/>
          <w:b/>
          <w:bCs/>
        </w:rPr>
        <w:t xml:space="preserve"> </w:t>
      </w:r>
    </w:p>
    <w:p w14:paraId="1014A044" w14:textId="5FA37180" w:rsidR="008F7114" w:rsidRDefault="00C30033">
      <w:pPr>
        <w:pStyle w:val="TableofFigures"/>
        <w:rPr>
          <w:rFonts w:asciiTheme="minorHAnsi" w:eastAsiaTheme="minorEastAsia" w:hAnsiTheme="minorHAnsi" w:cstheme="minorBidi"/>
          <w:noProof/>
          <w:kern w:val="2"/>
          <w:sz w:val="24"/>
          <w:szCs w:val="24"/>
          <w:lang w:val="en-150" w:eastAsia="en-150"/>
          <w14:ligatures w14:val="standardContextual"/>
        </w:rPr>
      </w:pPr>
      <w:r w:rsidRPr="00676F9E">
        <w:rPr>
          <w:rFonts w:asciiTheme="minorHAnsi" w:eastAsiaTheme="minorEastAsia" w:hAnsiTheme="minorHAnsi" w:cstheme="minorBidi"/>
          <w:noProof/>
          <w:kern w:val="2"/>
          <w:sz w:val="24"/>
          <w:szCs w:val="24"/>
          <w14:ligatures w14:val="standardContextual"/>
        </w:rPr>
        <w:fldChar w:fldCharType="begin"/>
      </w:r>
      <w:r w:rsidRPr="00676F9E">
        <w:rPr>
          <w:rFonts w:asciiTheme="minorHAnsi" w:eastAsiaTheme="minorEastAsia" w:hAnsiTheme="minorHAnsi" w:cstheme="minorBidi"/>
          <w:noProof/>
          <w:kern w:val="2"/>
          <w:sz w:val="24"/>
          <w:szCs w:val="24"/>
          <w14:ligatures w14:val="standardContextual"/>
        </w:rPr>
        <w:instrText xml:space="preserve"> TOC \f T \h \z \t "JRC_Table_title" \c  \* MERGEFORMAT </w:instrText>
      </w:r>
      <w:r w:rsidRPr="00676F9E">
        <w:rPr>
          <w:rFonts w:asciiTheme="minorHAnsi" w:eastAsiaTheme="minorEastAsia" w:hAnsiTheme="minorHAnsi" w:cstheme="minorBidi"/>
          <w:noProof/>
          <w:kern w:val="2"/>
          <w:sz w:val="24"/>
          <w:szCs w:val="24"/>
          <w14:ligatures w14:val="standardContextual"/>
        </w:rPr>
        <w:fldChar w:fldCharType="separate"/>
      </w:r>
      <w:hyperlink w:anchor="_Toc221271663" w:history="1">
        <w:r w:rsidR="008F7114" w:rsidRPr="0086396B">
          <w:rPr>
            <w:rStyle w:val="Hyperlink"/>
            <w:b/>
            <w:bCs/>
            <w:noProof/>
          </w:rPr>
          <w:t>Table 1.</w:t>
        </w:r>
        <w:r w:rsidR="008F7114" w:rsidRPr="0086396B">
          <w:rPr>
            <w:rStyle w:val="Hyperlink"/>
            <w:noProof/>
          </w:rPr>
          <w:t xml:space="preserve"> Gross domestic product at current prices EUR billion (2014-2023)</w:t>
        </w:r>
        <w:r w:rsidR="008F7114">
          <w:rPr>
            <w:noProof/>
            <w:webHidden/>
          </w:rPr>
          <w:tab/>
        </w:r>
        <w:r w:rsidR="008F7114">
          <w:rPr>
            <w:noProof/>
            <w:webHidden/>
          </w:rPr>
          <w:fldChar w:fldCharType="begin"/>
        </w:r>
        <w:r w:rsidR="008F7114">
          <w:rPr>
            <w:noProof/>
            <w:webHidden/>
          </w:rPr>
          <w:instrText xml:space="preserve"> PAGEREF _Toc221271663 \h </w:instrText>
        </w:r>
        <w:r w:rsidR="008F7114">
          <w:rPr>
            <w:noProof/>
            <w:webHidden/>
          </w:rPr>
        </w:r>
        <w:r w:rsidR="008F7114">
          <w:rPr>
            <w:noProof/>
            <w:webHidden/>
          </w:rPr>
          <w:fldChar w:fldCharType="separate"/>
        </w:r>
        <w:r w:rsidR="008F7114">
          <w:rPr>
            <w:noProof/>
            <w:webHidden/>
          </w:rPr>
          <w:t>6</w:t>
        </w:r>
        <w:r w:rsidR="008F7114">
          <w:rPr>
            <w:noProof/>
            <w:webHidden/>
          </w:rPr>
          <w:fldChar w:fldCharType="end"/>
        </w:r>
      </w:hyperlink>
    </w:p>
    <w:p w14:paraId="0255048F" w14:textId="4BEC0B64" w:rsidR="008F7114" w:rsidRDefault="008F7114">
      <w:pPr>
        <w:pStyle w:val="TableofFigures"/>
        <w:rPr>
          <w:rFonts w:asciiTheme="minorHAnsi" w:eastAsiaTheme="minorEastAsia" w:hAnsiTheme="minorHAnsi" w:cstheme="minorBidi"/>
          <w:noProof/>
          <w:kern w:val="2"/>
          <w:sz w:val="24"/>
          <w:szCs w:val="24"/>
          <w:lang w:val="en-150" w:eastAsia="en-150"/>
          <w14:ligatures w14:val="standardContextual"/>
        </w:rPr>
      </w:pPr>
      <w:hyperlink w:anchor="_Toc221271664" w:history="1">
        <w:r w:rsidRPr="0086396B">
          <w:rPr>
            <w:rStyle w:val="Hyperlink"/>
            <w:b/>
            <w:bCs/>
            <w:noProof/>
          </w:rPr>
          <w:t xml:space="preserve">Table 2. </w:t>
        </w:r>
        <w:r w:rsidRPr="0086396B">
          <w:rPr>
            <w:rStyle w:val="Hyperlink"/>
            <w:noProof/>
          </w:rPr>
          <w:t>Number of new companies in the country (2014-2023)</w:t>
        </w:r>
        <w:r>
          <w:rPr>
            <w:noProof/>
            <w:webHidden/>
          </w:rPr>
          <w:tab/>
        </w:r>
        <w:r>
          <w:rPr>
            <w:noProof/>
            <w:webHidden/>
          </w:rPr>
          <w:fldChar w:fldCharType="begin"/>
        </w:r>
        <w:r>
          <w:rPr>
            <w:noProof/>
            <w:webHidden/>
          </w:rPr>
          <w:instrText xml:space="preserve"> PAGEREF _Toc221271664 \h </w:instrText>
        </w:r>
        <w:r>
          <w:rPr>
            <w:noProof/>
            <w:webHidden/>
          </w:rPr>
        </w:r>
        <w:r>
          <w:rPr>
            <w:noProof/>
            <w:webHidden/>
          </w:rPr>
          <w:fldChar w:fldCharType="separate"/>
        </w:r>
        <w:r>
          <w:rPr>
            <w:noProof/>
            <w:webHidden/>
          </w:rPr>
          <w:t>10</w:t>
        </w:r>
        <w:r>
          <w:rPr>
            <w:noProof/>
            <w:webHidden/>
          </w:rPr>
          <w:fldChar w:fldCharType="end"/>
        </w:r>
      </w:hyperlink>
    </w:p>
    <w:p w14:paraId="129C89BD" w14:textId="2D9B0AF2" w:rsidR="008F7114" w:rsidRDefault="008F7114">
      <w:pPr>
        <w:pStyle w:val="TableofFigures"/>
        <w:rPr>
          <w:rFonts w:asciiTheme="minorHAnsi" w:eastAsiaTheme="minorEastAsia" w:hAnsiTheme="minorHAnsi" w:cstheme="minorBidi"/>
          <w:noProof/>
          <w:kern w:val="2"/>
          <w:sz w:val="24"/>
          <w:szCs w:val="24"/>
          <w:lang w:val="en-150" w:eastAsia="en-150"/>
          <w14:ligatures w14:val="standardContextual"/>
        </w:rPr>
      </w:pPr>
      <w:hyperlink w:anchor="_Toc221271665" w:history="1">
        <w:r w:rsidRPr="0086396B">
          <w:rPr>
            <w:rStyle w:val="Hyperlink"/>
            <w:b/>
            <w:bCs/>
            <w:noProof/>
          </w:rPr>
          <w:t>Table 3.</w:t>
        </w:r>
        <w:r w:rsidRPr="0086396B">
          <w:rPr>
            <w:rStyle w:val="Hyperlink"/>
            <w:noProof/>
          </w:rPr>
          <w:t xml:space="preserve"> Scientific publications by research area (2021-2023)</w:t>
        </w:r>
        <w:r>
          <w:rPr>
            <w:noProof/>
            <w:webHidden/>
          </w:rPr>
          <w:tab/>
        </w:r>
        <w:r>
          <w:rPr>
            <w:noProof/>
            <w:webHidden/>
          </w:rPr>
          <w:fldChar w:fldCharType="begin"/>
        </w:r>
        <w:r>
          <w:rPr>
            <w:noProof/>
            <w:webHidden/>
          </w:rPr>
          <w:instrText xml:space="preserve"> PAGEREF _Toc221271665 \h </w:instrText>
        </w:r>
        <w:r>
          <w:rPr>
            <w:noProof/>
            <w:webHidden/>
          </w:rPr>
        </w:r>
        <w:r>
          <w:rPr>
            <w:noProof/>
            <w:webHidden/>
          </w:rPr>
          <w:fldChar w:fldCharType="separate"/>
        </w:r>
        <w:r>
          <w:rPr>
            <w:noProof/>
            <w:webHidden/>
          </w:rPr>
          <w:t>16</w:t>
        </w:r>
        <w:r>
          <w:rPr>
            <w:noProof/>
            <w:webHidden/>
          </w:rPr>
          <w:fldChar w:fldCharType="end"/>
        </w:r>
      </w:hyperlink>
    </w:p>
    <w:p w14:paraId="1A5CDC73" w14:textId="010A6530" w:rsidR="008F7114" w:rsidRDefault="008F7114">
      <w:pPr>
        <w:pStyle w:val="TableofFigures"/>
        <w:rPr>
          <w:rFonts w:asciiTheme="minorHAnsi" w:eastAsiaTheme="minorEastAsia" w:hAnsiTheme="minorHAnsi" w:cstheme="minorBidi"/>
          <w:noProof/>
          <w:kern w:val="2"/>
          <w:sz w:val="24"/>
          <w:szCs w:val="24"/>
          <w:lang w:val="en-150" w:eastAsia="en-150"/>
          <w14:ligatures w14:val="standardContextual"/>
        </w:rPr>
      </w:pPr>
      <w:hyperlink w:anchor="_Toc221271666" w:history="1">
        <w:r w:rsidRPr="0086396B">
          <w:rPr>
            <w:rStyle w:val="Hyperlink"/>
            <w:b/>
            <w:bCs/>
            <w:noProof/>
          </w:rPr>
          <w:t>Table 4.</w:t>
        </w:r>
        <w:r w:rsidRPr="0086396B">
          <w:rPr>
            <w:rStyle w:val="Hyperlink"/>
            <w:noProof/>
          </w:rPr>
          <w:t xml:space="preserve"> Specialisations by research area on the most frequent fields compared to Western Balkans (2010-2023)</w:t>
        </w:r>
        <w:r>
          <w:rPr>
            <w:noProof/>
            <w:webHidden/>
          </w:rPr>
          <w:tab/>
        </w:r>
        <w:r>
          <w:rPr>
            <w:noProof/>
            <w:webHidden/>
          </w:rPr>
          <w:fldChar w:fldCharType="begin"/>
        </w:r>
        <w:r>
          <w:rPr>
            <w:noProof/>
            <w:webHidden/>
          </w:rPr>
          <w:instrText xml:space="preserve"> PAGEREF _Toc221271666 \h </w:instrText>
        </w:r>
        <w:r>
          <w:rPr>
            <w:noProof/>
            <w:webHidden/>
          </w:rPr>
        </w:r>
        <w:r>
          <w:rPr>
            <w:noProof/>
            <w:webHidden/>
          </w:rPr>
          <w:fldChar w:fldCharType="separate"/>
        </w:r>
        <w:r>
          <w:rPr>
            <w:noProof/>
            <w:webHidden/>
          </w:rPr>
          <w:t>18</w:t>
        </w:r>
        <w:r>
          <w:rPr>
            <w:noProof/>
            <w:webHidden/>
          </w:rPr>
          <w:fldChar w:fldCharType="end"/>
        </w:r>
      </w:hyperlink>
    </w:p>
    <w:p w14:paraId="7781E883" w14:textId="3BEB1B7A" w:rsidR="008F7114" w:rsidRDefault="008F7114">
      <w:pPr>
        <w:pStyle w:val="TableofFigures"/>
        <w:rPr>
          <w:rFonts w:asciiTheme="minorHAnsi" w:eastAsiaTheme="minorEastAsia" w:hAnsiTheme="minorHAnsi" w:cstheme="minorBidi"/>
          <w:noProof/>
          <w:kern w:val="2"/>
          <w:sz w:val="24"/>
          <w:szCs w:val="24"/>
          <w:lang w:val="en-150" w:eastAsia="en-150"/>
          <w14:ligatures w14:val="standardContextual"/>
        </w:rPr>
      </w:pPr>
      <w:hyperlink w:anchor="_Toc221271667" w:history="1">
        <w:r w:rsidRPr="0086396B">
          <w:rPr>
            <w:rStyle w:val="Hyperlink"/>
            <w:b/>
            <w:bCs/>
            <w:noProof/>
          </w:rPr>
          <w:t>Table 5.</w:t>
        </w:r>
        <w:r w:rsidRPr="0086396B">
          <w:rPr>
            <w:rStyle w:val="Hyperlink"/>
            <w:noProof/>
          </w:rPr>
          <w:t xml:space="preserve"> Financing received by type of user for each national scientific program (EUR million)</w:t>
        </w:r>
        <w:r>
          <w:rPr>
            <w:noProof/>
            <w:webHidden/>
          </w:rPr>
          <w:tab/>
        </w:r>
        <w:r>
          <w:rPr>
            <w:noProof/>
            <w:webHidden/>
          </w:rPr>
          <w:fldChar w:fldCharType="begin"/>
        </w:r>
        <w:r>
          <w:rPr>
            <w:noProof/>
            <w:webHidden/>
          </w:rPr>
          <w:instrText xml:space="preserve"> PAGEREF _Toc221271667 \h </w:instrText>
        </w:r>
        <w:r>
          <w:rPr>
            <w:noProof/>
            <w:webHidden/>
          </w:rPr>
        </w:r>
        <w:r>
          <w:rPr>
            <w:noProof/>
            <w:webHidden/>
          </w:rPr>
          <w:fldChar w:fldCharType="separate"/>
        </w:r>
        <w:r>
          <w:rPr>
            <w:noProof/>
            <w:webHidden/>
          </w:rPr>
          <w:t>20</w:t>
        </w:r>
        <w:r>
          <w:rPr>
            <w:noProof/>
            <w:webHidden/>
          </w:rPr>
          <w:fldChar w:fldCharType="end"/>
        </w:r>
      </w:hyperlink>
    </w:p>
    <w:p w14:paraId="4DC1E765" w14:textId="5844900C" w:rsidR="008F7114" w:rsidRDefault="008F7114">
      <w:pPr>
        <w:pStyle w:val="TableofFigures"/>
        <w:rPr>
          <w:rFonts w:asciiTheme="minorHAnsi" w:eastAsiaTheme="minorEastAsia" w:hAnsiTheme="minorHAnsi" w:cstheme="minorBidi"/>
          <w:noProof/>
          <w:kern w:val="2"/>
          <w:sz w:val="24"/>
          <w:szCs w:val="24"/>
          <w:lang w:val="en-150" w:eastAsia="en-150"/>
          <w14:ligatures w14:val="standardContextual"/>
        </w:rPr>
      </w:pPr>
      <w:hyperlink w:anchor="_Toc221271668" w:history="1">
        <w:r w:rsidRPr="0086396B">
          <w:rPr>
            <w:rStyle w:val="Hyperlink"/>
            <w:b/>
            <w:bCs/>
            <w:noProof/>
          </w:rPr>
          <w:t>Table 6.</w:t>
        </w:r>
        <w:r w:rsidRPr="0086396B">
          <w:rPr>
            <w:rStyle w:val="Hyperlink"/>
            <w:noProof/>
          </w:rPr>
          <w:t xml:space="preserve"> Financing received by S3 priority for each national scientific program (EUR million)</w:t>
        </w:r>
        <w:r>
          <w:rPr>
            <w:noProof/>
            <w:webHidden/>
          </w:rPr>
          <w:tab/>
        </w:r>
        <w:r>
          <w:rPr>
            <w:noProof/>
            <w:webHidden/>
          </w:rPr>
          <w:fldChar w:fldCharType="begin"/>
        </w:r>
        <w:r>
          <w:rPr>
            <w:noProof/>
            <w:webHidden/>
          </w:rPr>
          <w:instrText xml:space="preserve"> PAGEREF _Toc221271668 \h </w:instrText>
        </w:r>
        <w:r>
          <w:rPr>
            <w:noProof/>
            <w:webHidden/>
          </w:rPr>
        </w:r>
        <w:r>
          <w:rPr>
            <w:noProof/>
            <w:webHidden/>
          </w:rPr>
          <w:fldChar w:fldCharType="separate"/>
        </w:r>
        <w:r>
          <w:rPr>
            <w:noProof/>
            <w:webHidden/>
          </w:rPr>
          <w:t>21</w:t>
        </w:r>
        <w:r>
          <w:rPr>
            <w:noProof/>
            <w:webHidden/>
          </w:rPr>
          <w:fldChar w:fldCharType="end"/>
        </w:r>
      </w:hyperlink>
    </w:p>
    <w:p w14:paraId="22D6E6A2" w14:textId="78E7CBEB" w:rsidR="008F7114" w:rsidRDefault="008F7114">
      <w:pPr>
        <w:pStyle w:val="TableofFigures"/>
        <w:rPr>
          <w:rFonts w:asciiTheme="minorHAnsi" w:eastAsiaTheme="minorEastAsia" w:hAnsiTheme="minorHAnsi" w:cstheme="minorBidi"/>
          <w:noProof/>
          <w:kern w:val="2"/>
          <w:sz w:val="24"/>
          <w:szCs w:val="24"/>
          <w:lang w:val="en-150" w:eastAsia="en-150"/>
          <w14:ligatures w14:val="standardContextual"/>
        </w:rPr>
      </w:pPr>
      <w:hyperlink w:anchor="_Toc221271669" w:history="1">
        <w:r w:rsidRPr="0086396B">
          <w:rPr>
            <w:rStyle w:val="Hyperlink"/>
            <w:b/>
            <w:bCs/>
            <w:noProof/>
          </w:rPr>
          <w:t>Table 7.</w:t>
        </w:r>
        <w:r w:rsidRPr="0086396B">
          <w:rPr>
            <w:rStyle w:val="Hyperlink"/>
            <w:noProof/>
          </w:rPr>
          <w:t xml:space="preserve"> Financing received by location for each national scientific program (EUR million)</w:t>
        </w:r>
        <w:r>
          <w:rPr>
            <w:noProof/>
            <w:webHidden/>
          </w:rPr>
          <w:tab/>
        </w:r>
        <w:r>
          <w:rPr>
            <w:noProof/>
            <w:webHidden/>
          </w:rPr>
          <w:fldChar w:fldCharType="begin"/>
        </w:r>
        <w:r>
          <w:rPr>
            <w:noProof/>
            <w:webHidden/>
          </w:rPr>
          <w:instrText xml:space="preserve"> PAGEREF _Toc221271669 \h </w:instrText>
        </w:r>
        <w:r>
          <w:rPr>
            <w:noProof/>
            <w:webHidden/>
          </w:rPr>
        </w:r>
        <w:r>
          <w:rPr>
            <w:noProof/>
            <w:webHidden/>
          </w:rPr>
          <w:fldChar w:fldCharType="separate"/>
        </w:r>
        <w:r>
          <w:rPr>
            <w:noProof/>
            <w:webHidden/>
          </w:rPr>
          <w:t>21</w:t>
        </w:r>
        <w:r>
          <w:rPr>
            <w:noProof/>
            <w:webHidden/>
          </w:rPr>
          <w:fldChar w:fldCharType="end"/>
        </w:r>
      </w:hyperlink>
    </w:p>
    <w:p w14:paraId="295A9FA2" w14:textId="2854EFA6" w:rsidR="008F7114" w:rsidRDefault="008F7114">
      <w:pPr>
        <w:pStyle w:val="TableofFigures"/>
        <w:rPr>
          <w:rFonts w:asciiTheme="minorHAnsi" w:eastAsiaTheme="minorEastAsia" w:hAnsiTheme="minorHAnsi" w:cstheme="minorBidi"/>
          <w:noProof/>
          <w:kern w:val="2"/>
          <w:sz w:val="24"/>
          <w:szCs w:val="24"/>
          <w:lang w:val="en-150" w:eastAsia="en-150"/>
          <w14:ligatures w14:val="standardContextual"/>
        </w:rPr>
      </w:pPr>
      <w:hyperlink w:anchor="_Toc221271670" w:history="1">
        <w:r w:rsidRPr="0086396B">
          <w:rPr>
            <w:rStyle w:val="Hyperlink"/>
            <w:b/>
            <w:bCs/>
            <w:noProof/>
          </w:rPr>
          <w:t>Table 8.</w:t>
        </w:r>
        <w:r w:rsidRPr="0086396B">
          <w:rPr>
            <w:rStyle w:val="Hyperlink"/>
            <w:noProof/>
          </w:rPr>
          <w:t xml:space="preserve"> Patents portfolio of firms from Montenegro</w:t>
        </w:r>
        <w:r>
          <w:rPr>
            <w:noProof/>
            <w:webHidden/>
          </w:rPr>
          <w:tab/>
        </w:r>
        <w:r>
          <w:rPr>
            <w:noProof/>
            <w:webHidden/>
          </w:rPr>
          <w:fldChar w:fldCharType="begin"/>
        </w:r>
        <w:r>
          <w:rPr>
            <w:noProof/>
            <w:webHidden/>
          </w:rPr>
          <w:instrText xml:space="preserve"> PAGEREF _Toc221271670 \h </w:instrText>
        </w:r>
        <w:r>
          <w:rPr>
            <w:noProof/>
            <w:webHidden/>
          </w:rPr>
        </w:r>
        <w:r>
          <w:rPr>
            <w:noProof/>
            <w:webHidden/>
          </w:rPr>
          <w:fldChar w:fldCharType="separate"/>
        </w:r>
        <w:r>
          <w:rPr>
            <w:noProof/>
            <w:webHidden/>
          </w:rPr>
          <w:t>26</w:t>
        </w:r>
        <w:r>
          <w:rPr>
            <w:noProof/>
            <w:webHidden/>
          </w:rPr>
          <w:fldChar w:fldCharType="end"/>
        </w:r>
      </w:hyperlink>
    </w:p>
    <w:p w14:paraId="14AAC7F8" w14:textId="412F59FE" w:rsidR="008F7114" w:rsidRDefault="008F7114">
      <w:pPr>
        <w:pStyle w:val="TableofFigures"/>
        <w:rPr>
          <w:rFonts w:asciiTheme="minorHAnsi" w:eastAsiaTheme="minorEastAsia" w:hAnsiTheme="minorHAnsi" w:cstheme="minorBidi"/>
          <w:noProof/>
          <w:kern w:val="2"/>
          <w:sz w:val="24"/>
          <w:szCs w:val="24"/>
          <w:lang w:val="en-150" w:eastAsia="en-150"/>
          <w14:ligatures w14:val="standardContextual"/>
        </w:rPr>
      </w:pPr>
      <w:hyperlink w:anchor="_Toc221271671" w:history="1">
        <w:r w:rsidRPr="0086396B">
          <w:rPr>
            <w:rStyle w:val="Hyperlink"/>
            <w:b/>
            <w:bCs/>
            <w:noProof/>
          </w:rPr>
          <w:t xml:space="preserve">Table 9. </w:t>
        </w:r>
        <w:r w:rsidRPr="0086396B">
          <w:rPr>
            <w:rStyle w:val="Hyperlink"/>
            <w:noProof/>
          </w:rPr>
          <w:t>Age of patenting firms (considering 2023 as the final year)</w:t>
        </w:r>
        <w:r>
          <w:rPr>
            <w:noProof/>
            <w:webHidden/>
          </w:rPr>
          <w:tab/>
        </w:r>
        <w:r>
          <w:rPr>
            <w:noProof/>
            <w:webHidden/>
          </w:rPr>
          <w:fldChar w:fldCharType="begin"/>
        </w:r>
        <w:r>
          <w:rPr>
            <w:noProof/>
            <w:webHidden/>
          </w:rPr>
          <w:instrText xml:space="preserve"> PAGEREF _Toc221271671 \h </w:instrText>
        </w:r>
        <w:r>
          <w:rPr>
            <w:noProof/>
            <w:webHidden/>
          </w:rPr>
        </w:r>
        <w:r>
          <w:rPr>
            <w:noProof/>
            <w:webHidden/>
          </w:rPr>
          <w:fldChar w:fldCharType="separate"/>
        </w:r>
        <w:r>
          <w:rPr>
            <w:noProof/>
            <w:webHidden/>
          </w:rPr>
          <w:t>26</w:t>
        </w:r>
        <w:r>
          <w:rPr>
            <w:noProof/>
            <w:webHidden/>
          </w:rPr>
          <w:fldChar w:fldCharType="end"/>
        </w:r>
      </w:hyperlink>
    </w:p>
    <w:p w14:paraId="76C63ED2" w14:textId="16647F3E" w:rsidR="008F7114" w:rsidRDefault="008F7114">
      <w:pPr>
        <w:pStyle w:val="TableofFigures"/>
        <w:rPr>
          <w:rFonts w:asciiTheme="minorHAnsi" w:eastAsiaTheme="minorEastAsia" w:hAnsiTheme="minorHAnsi" w:cstheme="minorBidi"/>
          <w:noProof/>
          <w:kern w:val="2"/>
          <w:sz w:val="24"/>
          <w:szCs w:val="24"/>
          <w:lang w:val="en-150" w:eastAsia="en-150"/>
          <w14:ligatures w14:val="standardContextual"/>
        </w:rPr>
      </w:pPr>
      <w:hyperlink w:anchor="_Toc221271672" w:history="1">
        <w:r w:rsidRPr="0086396B">
          <w:rPr>
            <w:rStyle w:val="Hyperlink"/>
            <w:b/>
            <w:bCs/>
            <w:noProof/>
          </w:rPr>
          <w:t>Table 10.</w:t>
        </w:r>
        <w:r w:rsidRPr="0086396B">
          <w:rPr>
            <w:rStyle w:val="Hyperlink"/>
            <w:noProof/>
          </w:rPr>
          <w:t xml:space="preserve"> Location of patenting firms</w:t>
        </w:r>
        <w:r>
          <w:rPr>
            <w:noProof/>
            <w:webHidden/>
          </w:rPr>
          <w:tab/>
        </w:r>
        <w:r>
          <w:rPr>
            <w:noProof/>
            <w:webHidden/>
          </w:rPr>
          <w:fldChar w:fldCharType="begin"/>
        </w:r>
        <w:r>
          <w:rPr>
            <w:noProof/>
            <w:webHidden/>
          </w:rPr>
          <w:instrText xml:space="preserve"> PAGEREF _Toc221271672 \h </w:instrText>
        </w:r>
        <w:r>
          <w:rPr>
            <w:noProof/>
            <w:webHidden/>
          </w:rPr>
        </w:r>
        <w:r>
          <w:rPr>
            <w:noProof/>
            <w:webHidden/>
          </w:rPr>
          <w:fldChar w:fldCharType="separate"/>
        </w:r>
        <w:r>
          <w:rPr>
            <w:noProof/>
            <w:webHidden/>
          </w:rPr>
          <w:t>26</w:t>
        </w:r>
        <w:r>
          <w:rPr>
            <w:noProof/>
            <w:webHidden/>
          </w:rPr>
          <w:fldChar w:fldCharType="end"/>
        </w:r>
      </w:hyperlink>
    </w:p>
    <w:p w14:paraId="2E64F44D" w14:textId="3FA1F511" w:rsidR="008F7114" w:rsidRDefault="008F7114">
      <w:pPr>
        <w:pStyle w:val="TableofFigures"/>
        <w:rPr>
          <w:rFonts w:asciiTheme="minorHAnsi" w:eastAsiaTheme="minorEastAsia" w:hAnsiTheme="minorHAnsi" w:cstheme="minorBidi"/>
          <w:noProof/>
          <w:kern w:val="2"/>
          <w:sz w:val="24"/>
          <w:szCs w:val="24"/>
          <w:lang w:val="en-150" w:eastAsia="en-150"/>
          <w14:ligatures w14:val="standardContextual"/>
        </w:rPr>
      </w:pPr>
      <w:hyperlink w:anchor="_Toc221271673" w:history="1">
        <w:r w:rsidRPr="0086396B">
          <w:rPr>
            <w:rStyle w:val="Hyperlink"/>
            <w:b/>
            <w:bCs/>
            <w:noProof/>
          </w:rPr>
          <w:t>Table 11.</w:t>
        </w:r>
        <w:r w:rsidRPr="0086396B">
          <w:rPr>
            <w:rStyle w:val="Hyperlink"/>
            <w:noProof/>
          </w:rPr>
          <w:t xml:space="preserve"> Percentage of firms with a website by location</w:t>
        </w:r>
        <w:r>
          <w:rPr>
            <w:noProof/>
            <w:webHidden/>
          </w:rPr>
          <w:tab/>
        </w:r>
        <w:r>
          <w:rPr>
            <w:noProof/>
            <w:webHidden/>
          </w:rPr>
          <w:fldChar w:fldCharType="begin"/>
        </w:r>
        <w:r>
          <w:rPr>
            <w:noProof/>
            <w:webHidden/>
          </w:rPr>
          <w:instrText xml:space="preserve"> PAGEREF _Toc221271673 \h </w:instrText>
        </w:r>
        <w:r>
          <w:rPr>
            <w:noProof/>
            <w:webHidden/>
          </w:rPr>
        </w:r>
        <w:r>
          <w:rPr>
            <w:noProof/>
            <w:webHidden/>
          </w:rPr>
          <w:fldChar w:fldCharType="separate"/>
        </w:r>
        <w:r>
          <w:rPr>
            <w:noProof/>
            <w:webHidden/>
          </w:rPr>
          <w:t>28</w:t>
        </w:r>
        <w:r>
          <w:rPr>
            <w:noProof/>
            <w:webHidden/>
          </w:rPr>
          <w:fldChar w:fldCharType="end"/>
        </w:r>
      </w:hyperlink>
    </w:p>
    <w:p w14:paraId="71FD0B1B" w14:textId="0A35E8C0" w:rsidR="008F7114" w:rsidRDefault="008F7114">
      <w:pPr>
        <w:pStyle w:val="TableofFigures"/>
        <w:rPr>
          <w:rFonts w:asciiTheme="minorHAnsi" w:eastAsiaTheme="minorEastAsia" w:hAnsiTheme="minorHAnsi" w:cstheme="minorBidi"/>
          <w:noProof/>
          <w:kern w:val="2"/>
          <w:sz w:val="24"/>
          <w:szCs w:val="24"/>
          <w:lang w:val="en-150" w:eastAsia="en-150"/>
          <w14:ligatures w14:val="standardContextual"/>
        </w:rPr>
      </w:pPr>
      <w:hyperlink w:anchor="_Toc221271674" w:history="1">
        <w:r w:rsidRPr="0086396B">
          <w:rPr>
            <w:rStyle w:val="Hyperlink"/>
            <w:b/>
            <w:bCs/>
            <w:noProof/>
          </w:rPr>
          <w:t>Table 12.</w:t>
        </w:r>
        <w:r w:rsidRPr="0086396B">
          <w:rPr>
            <w:rStyle w:val="Hyperlink"/>
            <w:noProof/>
          </w:rPr>
          <w:t xml:space="preserve"> Financing received by type of users for each project category (EUR million)</w:t>
        </w:r>
        <w:r>
          <w:rPr>
            <w:noProof/>
            <w:webHidden/>
          </w:rPr>
          <w:tab/>
        </w:r>
        <w:r>
          <w:rPr>
            <w:noProof/>
            <w:webHidden/>
          </w:rPr>
          <w:fldChar w:fldCharType="begin"/>
        </w:r>
        <w:r>
          <w:rPr>
            <w:noProof/>
            <w:webHidden/>
          </w:rPr>
          <w:instrText xml:space="preserve"> PAGEREF _Toc221271674 \h </w:instrText>
        </w:r>
        <w:r>
          <w:rPr>
            <w:noProof/>
            <w:webHidden/>
          </w:rPr>
        </w:r>
        <w:r>
          <w:rPr>
            <w:noProof/>
            <w:webHidden/>
          </w:rPr>
          <w:fldChar w:fldCharType="separate"/>
        </w:r>
        <w:r>
          <w:rPr>
            <w:noProof/>
            <w:webHidden/>
          </w:rPr>
          <w:t>30</w:t>
        </w:r>
        <w:r>
          <w:rPr>
            <w:noProof/>
            <w:webHidden/>
          </w:rPr>
          <w:fldChar w:fldCharType="end"/>
        </w:r>
      </w:hyperlink>
    </w:p>
    <w:p w14:paraId="13A0028C" w14:textId="0C58417C" w:rsidR="008F7114" w:rsidRDefault="008F7114">
      <w:pPr>
        <w:pStyle w:val="TableofFigures"/>
        <w:rPr>
          <w:rFonts w:asciiTheme="minorHAnsi" w:eastAsiaTheme="minorEastAsia" w:hAnsiTheme="minorHAnsi" w:cstheme="minorBidi"/>
          <w:noProof/>
          <w:kern w:val="2"/>
          <w:sz w:val="24"/>
          <w:szCs w:val="24"/>
          <w:lang w:val="en-150" w:eastAsia="en-150"/>
          <w14:ligatures w14:val="standardContextual"/>
        </w:rPr>
      </w:pPr>
      <w:hyperlink w:anchor="_Toc221271675" w:history="1">
        <w:r w:rsidRPr="0086396B">
          <w:rPr>
            <w:rStyle w:val="Hyperlink"/>
            <w:b/>
            <w:bCs/>
            <w:noProof/>
          </w:rPr>
          <w:t>Table 13.</w:t>
        </w:r>
        <w:r w:rsidRPr="0086396B">
          <w:rPr>
            <w:rStyle w:val="Hyperlink"/>
            <w:noProof/>
          </w:rPr>
          <w:t xml:space="preserve"> Financing received by S3 priority for each project category (EUR million)</w:t>
        </w:r>
        <w:r>
          <w:rPr>
            <w:noProof/>
            <w:webHidden/>
          </w:rPr>
          <w:tab/>
        </w:r>
        <w:r>
          <w:rPr>
            <w:noProof/>
            <w:webHidden/>
          </w:rPr>
          <w:fldChar w:fldCharType="begin"/>
        </w:r>
        <w:r>
          <w:rPr>
            <w:noProof/>
            <w:webHidden/>
          </w:rPr>
          <w:instrText xml:space="preserve"> PAGEREF _Toc221271675 \h </w:instrText>
        </w:r>
        <w:r>
          <w:rPr>
            <w:noProof/>
            <w:webHidden/>
          </w:rPr>
        </w:r>
        <w:r>
          <w:rPr>
            <w:noProof/>
            <w:webHidden/>
          </w:rPr>
          <w:fldChar w:fldCharType="separate"/>
        </w:r>
        <w:r>
          <w:rPr>
            <w:noProof/>
            <w:webHidden/>
          </w:rPr>
          <w:t>30</w:t>
        </w:r>
        <w:r>
          <w:rPr>
            <w:noProof/>
            <w:webHidden/>
          </w:rPr>
          <w:fldChar w:fldCharType="end"/>
        </w:r>
      </w:hyperlink>
    </w:p>
    <w:p w14:paraId="7C8E7286" w14:textId="719BA12D" w:rsidR="008F7114" w:rsidRDefault="008F7114">
      <w:pPr>
        <w:pStyle w:val="TableofFigures"/>
        <w:rPr>
          <w:rFonts w:asciiTheme="minorHAnsi" w:eastAsiaTheme="minorEastAsia" w:hAnsiTheme="minorHAnsi" w:cstheme="minorBidi"/>
          <w:noProof/>
          <w:kern w:val="2"/>
          <w:sz w:val="24"/>
          <w:szCs w:val="24"/>
          <w:lang w:val="en-150" w:eastAsia="en-150"/>
          <w14:ligatures w14:val="standardContextual"/>
        </w:rPr>
      </w:pPr>
      <w:hyperlink w:anchor="_Toc221271676" w:history="1">
        <w:r w:rsidRPr="0086396B">
          <w:rPr>
            <w:rStyle w:val="Hyperlink"/>
            <w:b/>
            <w:bCs/>
            <w:noProof/>
          </w:rPr>
          <w:t>Table 14.</w:t>
        </w:r>
        <w:r w:rsidRPr="0086396B">
          <w:rPr>
            <w:rStyle w:val="Hyperlink"/>
            <w:noProof/>
          </w:rPr>
          <w:t xml:space="preserve"> Financing received by location for each project category (EUR million)</w:t>
        </w:r>
        <w:r>
          <w:rPr>
            <w:noProof/>
            <w:webHidden/>
          </w:rPr>
          <w:tab/>
        </w:r>
        <w:r>
          <w:rPr>
            <w:noProof/>
            <w:webHidden/>
          </w:rPr>
          <w:fldChar w:fldCharType="begin"/>
        </w:r>
        <w:r>
          <w:rPr>
            <w:noProof/>
            <w:webHidden/>
          </w:rPr>
          <w:instrText xml:space="preserve"> PAGEREF _Toc221271676 \h </w:instrText>
        </w:r>
        <w:r>
          <w:rPr>
            <w:noProof/>
            <w:webHidden/>
          </w:rPr>
        </w:r>
        <w:r>
          <w:rPr>
            <w:noProof/>
            <w:webHidden/>
          </w:rPr>
          <w:fldChar w:fldCharType="separate"/>
        </w:r>
        <w:r>
          <w:rPr>
            <w:noProof/>
            <w:webHidden/>
          </w:rPr>
          <w:t>31</w:t>
        </w:r>
        <w:r>
          <w:rPr>
            <w:noProof/>
            <w:webHidden/>
          </w:rPr>
          <w:fldChar w:fldCharType="end"/>
        </w:r>
      </w:hyperlink>
    </w:p>
    <w:p w14:paraId="7FCC6B52" w14:textId="187097E2" w:rsidR="008F7114" w:rsidRDefault="008F7114">
      <w:pPr>
        <w:pStyle w:val="TableofFigures"/>
        <w:rPr>
          <w:rFonts w:asciiTheme="minorHAnsi" w:eastAsiaTheme="minorEastAsia" w:hAnsiTheme="minorHAnsi" w:cstheme="minorBidi"/>
          <w:noProof/>
          <w:kern w:val="2"/>
          <w:sz w:val="24"/>
          <w:szCs w:val="24"/>
          <w:lang w:val="en-150" w:eastAsia="en-150"/>
          <w14:ligatures w14:val="standardContextual"/>
        </w:rPr>
      </w:pPr>
      <w:hyperlink w:anchor="_Toc221271677" w:history="1">
        <w:r w:rsidRPr="0086396B">
          <w:rPr>
            <w:rStyle w:val="Hyperlink"/>
            <w:b/>
            <w:bCs/>
            <w:noProof/>
          </w:rPr>
          <w:t>Table 15.</w:t>
        </w:r>
        <w:r w:rsidRPr="0086396B">
          <w:rPr>
            <w:rStyle w:val="Hyperlink"/>
            <w:noProof/>
          </w:rPr>
          <w:t xml:space="preserve"> Total amount of the approved projects for each programme line (EUR million)</w:t>
        </w:r>
        <w:r>
          <w:rPr>
            <w:noProof/>
            <w:webHidden/>
          </w:rPr>
          <w:tab/>
        </w:r>
        <w:r>
          <w:rPr>
            <w:noProof/>
            <w:webHidden/>
          </w:rPr>
          <w:fldChar w:fldCharType="begin"/>
        </w:r>
        <w:r>
          <w:rPr>
            <w:noProof/>
            <w:webHidden/>
          </w:rPr>
          <w:instrText xml:space="preserve"> PAGEREF _Toc221271677 \h </w:instrText>
        </w:r>
        <w:r>
          <w:rPr>
            <w:noProof/>
            <w:webHidden/>
          </w:rPr>
        </w:r>
        <w:r>
          <w:rPr>
            <w:noProof/>
            <w:webHidden/>
          </w:rPr>
          <w:fldChar w:fldCharType="separate"/>
        </w:r>
        <w:r>
          <w:rPr>
            <w:noProof/>
            <w:webHidden/>
          </w:rPr>
          <w:t>33</w:t>
        </w:r>
        <w:r>
          <w:rPr>
            <w:noProof/>
            <w:webHidden/>
          </w:rPr>
          <w:fldChar w:fldCharType="end"/>
        </w:r>
      </w:hyperlink>
    </w:p>
    <w:p w14:paraId="603E37AD" w14:textId="620446EE" w:rsidR="008F7114" w:rsidRDefault="008F7114">
      <w:pPr>
        <w:pStyle w:val="TableofFigures"/>
        <w:rPr>
          <w:rFonts w:asciiTheme="minorHAnsi" w:eastAsiaTheme="minorEastAsia" w:hAnsiTheme="minorHAnsi" w:cstheme="minorBidi"/>
          <w:noProof/>
          <w:kern w:val="2"/>
          <w:sz w:val="24"/>
          <w:szCs w:val="24"/>
          <w:lang w:val="en-150" w:eastAsia="en-150"/>
          <w14:ligatures w14:val="standardContextual"/>
        </w:rPr>
      </w:pPr>
      <w:hyperlink w:anchor="_Toc221271678" w:history="1">
        <w:r w:rsidRPr="0086396B">
          <w:rPr>
            <w:rStyle w:val="Hyperlink"/>
            <w:b/>
            <w:bCs/>
            <w:noProof/>
          </w:rPr>
          <w:t>Table 16.</w:t>
        </w:r>
        <w:r w:rsidRPr="0086396B">
          <w:rPr>
            <w:rStyle w:val="Hyperlink"/>
            <w:noProof/>
          </w:rPr>
          <w:t xml:space="preserve"> Total amount of the approved projects by S3 priority for each programme line (EUR million)</w:t>
        </w:r>
        <w:r>
          <w:rPr>
            <w:noProof/>
            <w:webHidden/>
          </w:rPr>
          <w:tab/>
        </w:r>
        <w:r>
          <w:rPr>
            <w:noProof/>
            <w:webHidden/>
          </w:rPr>
          <w:fldChar w:fldCharType="begin"/>
        </w:r>
        <w:r>
          <w:rPr>
            <w:noProof/>
            <w:webHidden/>
          </w:rPr>
          <w:instrText xml:space="preserve"> PAGEREF _Toc221271678 \h </w:instrText>
        </w:r>
        <w:r>
          <w:rPr>
            <w:noProof/>
            <w:webHidden/>
          </w:rPr>
        </w:r>
        <w:r>
          <w:rPr>
            <w:noProof/>
            <w:webHidden/>
          </w:rPr>
          <w:fldChar w:fldCharType="separate"/>
        </w:r>
        <w:r>
          <w:rPr>
            <w:noProof/>
            <w:webHidden/>
          </w:rPr>
          <w:t>33</w:t>
        </w:r>
        <w:r>
          <w:rPr>
            <w:noProof/>
            <w:webHidden/>
          </w:rPr>
          <w:fldChar w:fldCharType="end"/>
        </w:r>
      </w:hyperlink>
    </w:p>
    <w:p w14:paraId="4DEAD0AC" w14:textId="08812CD1" w:rsidR="008F7114" w:rsidRDefault="008F7114">
      <w:pPr>
        <w:pStyle w:val="TableofFigures"/>
        <w:rPr>
          <w:rFonts w:asciiTheme="minorHAnsi" w:eastAsiaTheme="minorEastAsia" w:hAnsiTheme="minorHAnsi" w:cstheme="minorBidi"/>
          <w:noProof/>
          <w:kern w:val="2"/>
          <w:sz w:val="24"/>
          <w:szCs w:val="24"/>
          <w:lang w:val="en-150" w:eastAsia="en-150"/>
          <w14:ligatures w14:val="standardContextual"/>
        </w:rPr>
      </w:pPr>
      <w:hyperlink w:anchor="_Toc221271679" w:history="1">
        <w:r w:rsidRPr="0086396B">
          <w:rPr>
            <w:rStyle w:val="Hyperlink"/>
            <w:b/>
            <w:bCs/>
            <w:noProof/>
          </w:rPr>
          <w:t xml:space="preserve">Table 17. </w:t>
        </w:r>
        <w:r w:rsidRPr="0086396B">
          <w:rPr>
            <w:rStyle w:val="Hyperlink"/>
            <w:noProof/>
          </w:rPr>
          <w:t>Total amount of the approved projects by location for each S3 priority (EUR million)</w:t>
        </w:r>
        <w:r>
          <w:rPr>
            <w:noProof/>
            <w:webHidden/>
          </w:rPr>
          <w:tab/>
        </w:r>
        <w:r>
          <w:rPr>
            <w:noProof/>
            <w:webHidden/>
          </w:rPr>
          <w:fldChar w:fldCharType="begin"/>
        </w:r>
        <w:r>
          <w:rPr>
            <w:noProof/>
            <w:webHidden/>
          </w:rPr>
          <w:instrText xml:space="preserve"> PAGEREF _Toc221271679 \h </w:instrText>
        </w:r>
        <w:r>
          <w:rPr>
            <w:noProof/>
            <w:webHidden/>
          </w:rPr>
        </w:r>
        <w:r>
          <w:rPr>
            <w:noProof/>
            <w:webHidden/>
          </w:rPr>
          <w:fldChar w:fldCharType="separate"/>
        </w:r>
        <w:r>
          <w:rPr>
            <w:noProof/>
            <w:webHidden/>
          </w:rPr>
          <w:t>34</w:t>
        </w:r>
        <w:r>
          <w:rPr>
            <w:noProof/>
            <w:webHidden/>
          </w:rPr>
          <w:fldChar w:fldCharType="end"/>
        </w:r>
      </w:hyperlink>
    </w:p>
    <w:p w14:paraId="0F3DE4ED" w14:textId="445434BF" w:rsidR="00C30033" w:rsidRPr="00736593" w:rsidRDefault="00C30033" w:rsidP="00C30033">
      <w:pPr>
        <w:pStyle w:val="TableofFigures"/>
        <w:tabs>
          <w:tab w:val="clear" w:pos="9061"/>
          <w:tab w:val="left" w:pos="9072"/>
          <w:tab w:val="right" w:leader="dot" w:pos="9638"/>
        </w:tabs>
        <w:jc w:val="both"/>
      </w:pPr>
      <w:r w:rsidRPr="00676F9E">
        <w:rPr>
          <w:rFonts w:asciiTheme="minorHAnsi" w:eastAsiaTheme="minorEastAsia" w:hAnsiTheme="minorHAnsi" w:cstheme="minorBidi"/>
          <w:noProof/>
          <w:kern w:val="2"/>
          <w:sz w:val="24"/>
          <w:szCs w:val="24"/>
          <w14:ligatures w14:val="standardContextual"/>
        </w:rPr>
        <w:fldChar w:fldCharType="end"/>
      </w:r>
    </w:p>
    <w:p w14:paraId="4424C3D2" w14:textId="77777777" w:rsidR="00C30033" w:rsidRPr="00DB00D1" w:rsidRDefault="00C30033" w:rsidP="00C30033">
      <w:pPr>
        <w:pStyle w:val="JRCText"/>
        <w:ind w:left="360"/>
        <w:rPr>
          <w:lang w:val="en-IE"/>
        </w:rPr>
      </w:pPr>
    </w:p>
    <w:p w14:paraId="00B8C0DC" w14:textId="77777777" w:rsidR="005655D9" w:rsidRPr="00C30033" w:rsidRDefault="005655D9" w:rsidP="00C30033">
      <w:pPr>
        <w:rPr>
          <w:lang w:val="en-IE"/>
        </w:rPr>
      </w:pPr>
    </w:p>
    <w:sectPr w:rsidR="005655D9" w:rsidRPr="00C3003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E66838" w14:textId="77777777" w:rsidR="00C30033" w:rsidRDefault="00C30033" w:rsidP="00C30033">
      <w:pPr>
        <w:spacing w:before="0" w:after="0" w:line="240" w:lineRule="auto"/>
      </w:pPr>
      <w:r>
        <w:separator/>
      </w:r>
    </w:p>
  </w:endnote>
  <w:endnote w:type="continuationSeparator" w:id="0">
    <w:p w14:paraId="7DE0B461" w14:textId="77777777" w:rsidR="00C30033" w:rsidRDefault="00C30033" w:rsidP="00C30033">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EC Square Sans Pro">
    <w:panose1 w:val="020B0506040000020004"/>
    <w:charset w:val="00"/>
    <w:family w:val="swiss"/>
    <w:pitch w:val="variable"/>
    <w:sig w:usb0="20000287" w:usb1="00000001" w:usb2="00000000" w:usb3="00000000" w:csb0="0000019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200247B" w:usb2="00000009" w:usb3="00000000" w:csb0="000001FF" w:csb1="00000000"/>
  </w:font>
  <w:font w:name="EC Square Sans Pro Light">
    <w:panose1 w:val="020B0506000000020004"/>
    <w:charset w:val="00"/>
    <w:family w:val="swiss"/>
    <w:pitch w:val="variable"/>
    <w:sig w:usb0="20000287" w:usb1="00000001" w:usb2="00000000" w:usb3="00000000" w:csb0="0000019F" w:csb1="00000000"/>
  </w:font>
  <w:font w:name="EC Square Sans Pro Medium">
    <w:panose1 w:val="020B0500000000020004"/>
    <w:charset w:val="00"/>
    <w:family w:val="swiss"/>
    <w:pitch w:val="variable"/>
    <w:sig w:usb0="20000287" w:usb1="00000001" w:usb2="00000000" w:usb3="00000000" w:csb0="0000019F" w:csb1="00000000"/>
  </w:font>
  <w:font w:name="EC Square Sans Cond Pro Medium">
    <w:panose1 w:val="020B0606000000020004"/>
    <w:charset w:val="00"/>
    <w:family w:val="swiss"/>
    <w:pitch w:val="variable"/>
    <w:sig w:usb0="20000287" w:usb1="00000001" w:usb2="00000000" w:usb3="00000000" w:csb0="0000019F" w:csb1="00000000"/>
  </w:font>
  <w:font w:name="EC Square Sans Cond Pro">
    <w:panose1 w:val="020B0506040000020004"/>
    <w:charset w:val="00"/>
    <w:family w:val="swiss"/>
    <w:pitch w:val="variable"/>
    <w:sig w:usb0="20000287" w:usb1="00000001" w:usb2="00000000" w:usb3="00000000" w:csb0="0000019F" w:csb1="00000000"/>
  </w:font>
  <w:font w:name="Times New Roman (Body CS)">
    <w:altName w:val="Times New Roman"/>
    <w:charset w:val="00"/>
    <w:family w:val="roman"/>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55C037" w14:textId="77777777" w:rsidR="00C30033" w:rsidRDefault="00C30033" w:rsidP="00C30033">
      <w:pPr>
        <w:spacing w:before="0" w:after="0" w:line="240" w:lineRule="auto"/>
      </w:pPr>
      <w:r>
        <w:separator/>
      </w:r>
    </w:p>
  </w:footnote>
  <w:footnote w:type="continuationSeparator" w:id="0">
    <w:p w14:paraId="3E039AFF" w14:textId="77777777" w:rsidR="00C30033" w:rsidRDefault="00C30033" w:rsidP="00C30033">
      <w:pPr>
        <w:spacing w:before="0" w:after="0" w:line="240" w:lineRule="auto"/>
      </w:pPr>
      <w:r>
        <w:continuationSeparator/>
      </w:r>
    </w:p>
  </w:footnote>
  <w:footnote w:id="1">
    <w:p w14:paraId="4B7342F7" w14:textId="60C488C1" w:rsidR="008F7114" w:rsidRPr="008F7114" w:rsidRDefault="008F7114">
      <w:pPr>
        <w:pStyle w:val="FootnoteText"/>
      </w:pPr>
      <w:r>
        <w:rPr>
          <w:rStyle w:val="FootnoteReference"/>
        </w:rPr>
        <w:footnoteRef/>
      </w:r>
      <w:r>
        <w:t xml:space="preserve"> </w:t>
      </w:r>
      <w:r>
        <w:tab/>
      </w:r>
      <w:r w:rsidRPr="008F7114">
        <w:t>FABBRI, E., INNOCENTI, N., BOLE, D., ŠĆEPANOVIĆ, B., RAKČEVIĆ, B. et al., Mapping Montenegro’s potential in the context of Smart Specialisation, FABBRI, E. and JANKOVIĆ MIJANOVIĆ, I. (editors), Publications Office of the European Union, Luxembourg, 2026, https://data.europa.eu/doi/10.2760/0262285, JRC145542.</w:t>
      </w:r>
    </w:p>
  </w:footnote>
  <w:footnote w:id="2">
    <w:p w14:paraId="4B24ED51" w14:textId="77777777" w:rsidR="00BA1E77" w:rsidRPr="00E47079" w:rsidRDefault="00BA1E77" w:rsidP="00BA1E77">
      <w:pPr>
        <w:pStyle w:val="FootnoteText"/>
      </w:pPr>
      <w:r w:rsidRPr="00E47079">
        <w:rPr>
          <w:rStyle w:val="FootnoteReference"/>
        </w:rPr>
        <w:footnoteRef/>
      </w:r>
      <w:r w:rsidRPr="00E47079">
        <w:t xml:space="preserve"> </w:t>
      </w:r>
      <w:r>
        <w:tab/>
      </w:r>
      <w:r w:rsidRPr="00E47079">
        <w:t xml:space="preserve">In this case the data are drawn from ORBIS database which are slightly different from </w:t>
      </w:r>
      <w:proofErr w:type="spellStart"/>
      <w:r w:rsidRPr="00E47079">
        <w:t>Monstat</w:t>
      </w:r>
      <w:proofErr w:type="spellEnd"/>
      <w:r w:rsidRPr="00E47079">
        <w:t xml:space="preserve"> or more institutional data. However, this is largely considered a good proxy and frequently used also for scientific purposes.</w:t>
      </w:r>
    </w:p>
  </w:footnote>
  <w:footnote w:id="3">
    <w:p w14:paraId="62B11AAF" w14:textId="77777777" w:rsidR="00BA1E77" w:rsidRPr="00E47079" w:rsidRDefault="00BA1E77" w:rsidP="00BA1E77">
      <w:pPr>
        <w:pStyle w:val="FootnoteText"/>
      </w:pPr>
      <w:r w:rsidRPr="00E47079">
        <w:rPr>
          <w:rStyle w:val="FootnoteReference"/>
        </w:rPr>
        <w:footnoteRef/>
      </w:r>
      <w:r w:rsidRPr="00E47079">
        <w:t xml:space="preserve"> </w:t>
      </w:r>
      <w:r>
        <w:tab/>
      </w:r>
      <w:r w:rsidRPr="00E47079">
        <w:t>One organisation participating in multiple projects is counted N times for each participation.</w:t>
      </w:r>
    </w:p>
  </w:footnote>
  <w:footnote w:id="4">
    <w:p w14:paraId="3F5998BF" w14:textId="77777777" w:rsidR="00BA1E77" w:rsidRPr="00E47079" w:rsidRDefault="00BA1E77" w:rsidP="00BA1E77">
      <w:pPr>
        <w:pStyle w:val="FootnoteText"/>
      </w:pPr>
      <w:r w:rsidRPr="00E47079">
        <w:rPr>
          <w:rStyle w:val="FootnoteReference"/>
        </w:rPr>
        <w:footnoteRef/>
      </w:r>
      <w:r w:rsidRPr="00E47079">
        <w:t xml:space="preserve"> </w:t>
      </w:r>
      <w:r>
        <w:tab/>
      </w:r>
      <w:r w:rsidRPr="00E47079">
        <w:t xml:space="preserve">More detailed information are available here: </w:t>
      </w:r>
      <w:hyperlink r:id="rId1" w:anchor="participation" w:history="1">
        <w:r w:rsidRPr="00E47079">
          <w:rPr>
            <w:rStyle w:val="Hyperlink"/>
          </w:rPr>
          <w:t>https://dashboard.tech.ec.europa.eu/qs_digit_dashboard_mt/public/extensions/RTD_BI_public_Country_Profile/RTD_BI_public_Country_Profile.html?Country=ME#participation</w:t>
        </w:r>
      </w:hyperlink>
    </w:p>
  </w:footnote>
  <w:footnote w:id="5">
    <w:p w14:paraId="6B45A3D0" w14:textId="77777777" w:rsidR="00BA1E77" w:rsidRPr="00DF279D" w:rsidRDefault="00BA1E77" w:rsidP="00BA1E77">
      <w:pPr>
        <w:pStyle w:val="FootnoteText"/>
      </w:pPr>
      <w:r w:rsidRPr="00DF279D">
        <w:rPr>
          <w:rStyle w:val="FootnoteReference"/>
        </w:rPr>
        <w:sym w:font="Symbol" w:char="F02A"/>
      </w:r>
      <w:r>
        <w:t xml:space="preserve"> </w:t>
      </w:r>
      <w:r>
        <w:tab/>
      </w:r>
      <w:r w:rsidRPr="003E1AFC">
        <w:t>This designation is without prejudice to positions on status and is in line with UNSCR 1244/1999 and the ICJ Opinion on the Kosovo declaration of independence.</w:t>
      </w:r>
    </w:p>
  </w:footnote>
  <w:footnote w:id="6">
    <w:p w14:paraId="69AA46E4" w14:textId="77777777" w:rsidR="00BA1E77" w:rsidRPr="00E47079" w:rsidRDefault="00BA1E77" w:rsidP="00BA1E77">
      <w:pPr>
        <w:pStyle w:val="FootnoteText"/>
      </w:pPr>
      <w:r w:rsidRPr="00E47079">
        <w:rPr>
          <w:rStyle w:val="FootnoteReference"/>
        </w:rPr>
        <w:footnoteRef/>
      </w:r>
      <w:r w:rsidRPr="00E47079">
        <w:t xml:space="preserve"> </w:t>
      </w:r>
      <w:r>
        <w:tab/>
      </w:r>
      <w:r w:rsidRPr="00E47079">
        <w:t xml:space="preserve">A detailed discussion of sources and sub-index is available here: </w:t>
      </w:r>
      <w:hyperlink r:id="rId2" w:history="1">
        <w:r w:rsidRPr="00E47079">
          <w:rPr>
            <w:rStyle w:val="Hyperlink"/>
          </w:rPr>
          <w:t>https://www.wipo.int/web-publications/global-innovation-index-2024/en/appendix-iii-sources-and-definitions.html</w:t>
        </w:r>
      </w:hyperlink>
    </w:p>
    <w:p w14:paraId="446E7B0F" w14:textId="77777777" w:rsidR="00BA1E77" w:rsidRPr="00E47079" w:rsidRDefault="00BA1E77" w:rsidP="00BA1E77">
      <w:pPr>
        <w:pStyle w:val="FootnoteText"/>
      </w:pPr>
    </w:p>
  </w:footnote>
  <w:footnote w:id="7">
    <w:p w14:paraId="5D73CD4F" w14:textId="77777777" w:rsidR="00BA1E77" w:rsidRDefault="00BA1E77" w:rsidP="00BA1E77">
      <w:pPr>
        <w:pStyle w:val="FootnoteText"/>
        <w:rPr>
          <w:lang w:val="en-US"/>
        </w:rPr>
      </w:pPr>
      <w:r>
        <w:rPr>
          <w:rStyle w:val="FootnoteReference"/>
        </w:rPr>
        <w:footnoteRef/>
      </w:r>
      <w:r w:rsidRPr="00AB513E">
        <w:rPr>
          <w:lang w:val="en-US"/>
        </w:rPr>
        <w:t xml:space="preserve"> </w:t>
      </w:r>
      <w:r>
        <w:rPr>
          <w:lang w:val="en-US"/>
        </w:rPr>
        <w:tab/>
        <w:t>Data are updated up to August 2024, and a relevant quota of other projects has been contracted in December 2024.</w:t>
      </w:r>
    </w:p>
    <w:p w14:paraId="3E9827E4" w14:textId="77777777" w:rsidR="00BA1E77" w:rsidRPr="00AB513E" w:rsidRDefault="00BA1E77" w:rsidP="00BA1E77">
      <w:pPr>
        <w:pStyle w:val="FootnoteText"/>
        <w:rPr>
          <w:lang w:val="en-US"/>
        </w:rPr>
      </w:pPr>
    </w:p>
  </w:footnote>
  <w:footnote w:id="8">
    <w:p w14:paraId="6E3F27A6" w14:textId="77777777" w:rsidR="00BA1E77" w:rsidRDefault="00BA1E77" w:rsidP="00BA1E77">
      <w:pPr>
        <w:pStyle w:val="FootnoteText"/>
      </w:pPr>
      <w:r>
        <w:rPr>
          <w:rStyle w:val="FootnoteReference"/>
        </w:rPr>
        <w:footnoteRef/>
      </w:r>
      <w:r>
        <w:t xml:space="preserve"> </w:t>
      </w:r>
      <w:r>
        <w:tab/>
        <w:t xml:space="preserve">A separate reflection is needed for the Management Consultancy and Wholesale sectors, both of which demonstrate strong economic indicators. Management Consultancy (M702) stands out for its high volume of new ventures and dynamic digitalization, while Non-specialised Wholesale (G469) exhibits significant critical mass and one of the highest specialization levels relative to the EU-27. </w:t>
      </w:r>
    </w:p>
    <w:p w14:paraId="07E0F2A2" w14:textId="7EA703B6" w:rsidR="00BA1E77" w:rsidRPr="00CC32F6" w:rsidRDefault="00BA1E77" w:rsidP="00BA1E77">
      <w:pPr>
        <w:pStyle w:val="FootnoteText"/>
        <w:ind w:firstLine="0"/>
      </w:pPr>
      <w:r>
        <w:t xml:space="preserve">However, despite these promising signals, both sectors show low level of scientific and innovation potential. In the case of Consultancy, the high entrepreneurial activity does not translate into R&amp;D collaborations or knowledge-based growth. Similarly, while the Wholesale sector is strong in terms of sales and market presence, its role is primarily intermediary, lacking the innovative depth required to drive a research-led economic transformation. </w:t>
      </w:r>
      <w:r>
        <w:t xml:space="preserve">Ultimately, because these sectors fail to align across all three pillars of the S3 methodology - economic, scientific, and innovative - they have not been identified as preliminary target domains, though further qualitative insights could be used to re-evaluate this position and investigate deeper innovation </w:t>
      </w:r>
      <w:r>
        <w:t>synergies</w:t>
      </w:r>
      <w:r w:rsidR="008F7114">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F6057F" w14:textId="77777777" w:rsidR="00C94CD4" w:rsidRPr="00867C66" w:rsidRDefault="00C94CD4">
    <w:pPr>
      <w:pStyle w:val="Header"/>
      <w:rP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A232DA1A"/>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D6D89DF2"/>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15C2FC82"/>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2FCAD0B2"/>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ABEC079C"/>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DB94718E"/>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3EF83606"/>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8D44EEAA"/>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F2F2CC5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41D0196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81534C1"/>
    <w:multiLevelType w:val="hybridMultilevel"/>
    <w:tmpl w:val="C610DC74"/>
    <w:lvl w:ilvl="0" w:tplc="CAACB1C0">
      <w:start w:val="1"/>
      <w:numFmt w:val="decimal"/>
      <w:lvlText w:val="(%1)"/>
      <w:lvlJc w:val="left"/>
      <w:pPr>
        <w:ind w:left="720" w:hanging="360"/>
      </w:pPr>
      <w:rPr>
        <w:rFonts w:hint="default"/>
        <w:color w:val="0E2841" w:themeColor="text2"/>
        <w:sz w:val="20"/>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1" w15:restartNumberingAfterBreak="0">
    <w:nsid w:val="16224BD9"/>
    <w:multiLevelType w:val="multilevel"/>
    <w:tmpl w:val="2D72F9CC"/>
    <w:numStyleLink w:val="JRCTextbulletedlist"/>
  </w:abstractNum>
  <w:abstractNum w:abstractNumId="12" w15:restartNumberingAfterBreak="0">
    <w:nsid w:val="280512AB"/>
    <w:multiLevelType w:val="multilevel"/>
    <w:tmpl w:val="2D72F9CC"/>
    <w:numStyleLink w:val="JRCTextbulletedlist"/>
  </w:abstractNum>
  <w:abstractNum w:abstractNumId="13" w15:restartNumberingAfterBreak="0">
    <w:nsid w:val="280B6801"/>
    <w:multiLevelType w:val="hybridMultilevel"/>
    <w:tmpl w:val="98C090D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 w15:restartNumberingAfterBreak="0">
    <w:nsid w:val="2BB16A97"/>
    <w:multiLevelType w:val="hybridMultilevel"/>
    <w:tmpl w:val="976CB88E"/>
    <w:lvl w:ilvl="0" w:tplc="A72CBCDA">
      <w:start w:val="1"/>
      <w:numFmt w:val="decimal"/>
      <w:lvlText w:val="(%1)"/>
      <w:lvlJc w:val="left"/>
      <w:pPr>
        <w:ind w:left="360" w:hanging="360"/>
      </w:pPr>
      <w:rPr>
        <w:rFonts w:hint="default"/>
        <w:b w:val="0"/>
        <w:color w:val="0E2841" w:themeColor="text2"/>
        <w:sz w:val="20"/>
      </w:r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15" w15:restartNumberingAfterBreak="0">
    <w:nsid w:val="323029C3"/>
    <w:multiLevelType w:val="multilevel"/>
    <w:tmpl w:val="4A98F80E"/>
    <w:numStyleLink w:val="JRCBackCoverlist"/>
  </w:abstractNum>
  <w:abstractNum w:abstractNumId="16" w15:restartNumberingAfterBreak="0">
    <w:nsid w:val="339A4F21"/>
    <w:multiLevelType w:val="multilevel"/>
    <w:tmpl w:val="2D72F9CC"/>
    <w:numStyleLink w:val="JRCTextbulletedlist"/>
  </w:abstractNum>
  <w:abstractNum w:abstractNumId="17" w15:restartNumberingAfterBreak="0">
    <w:nsid w:val="36C13E51"/>
    <w:multiLevelType w:val="multilevel"/>
    <w:tmpl w:val="08090023"/>
    <w:styleLink w:val="ArticleSection"/>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8" w15:restartNumberingAfterBreak="0">
    <w:nsid w:val="3AE05817"/>
    <w:multiLevelType w:val="multilevel"/>
    <w:tmpl w:val="4A98F80E"/>
    <w:styleLink w:val="JRCBackCoverlist"/>
    <w:lvl w:ilvl="0">
      <w:start w:val="1"/>
      <w:numFmt w:val="none"/>
      <w:pStyle w:val="JRCBackCoverlist1"/>
      <w:suff w:val="nothing"/>
      <w:lvlText w:val=""/>
      <w:lvlJc w:val="left"/>
      <w:pPr>
        <w:ind w:left="0" w:firstLine="0"/>
      </w:pPr>
      <w:rPr>
        <w:rFonts w:hint="default"/>
      </w:rPr>
    </w:lvl>
    <w:lvl w:ilvl="1">
      <w:start w:val="1"/>
      <w:numFmt w:val="lowerLetter"/>
      <w:lvlText w:val="%2)"/>
      <w:lvlJc w:val="left"/>
      <w:pPr>
        <w:tabs>
          <w:tab w:val="num" w:pos="3969"/>
        </w:tabs>
        <w:ind w:left="0" w:firstLine="0"/>
      </w:pPr>
      <w:rPr>
        <w:rFonts w:hint="default"/>
      </w:rPr>
    </w:lvl>
    <w:lvl w:ilvl="2">
      <w:start w:val="1"/>
      <w:numFmt w:val="lowerRoman"/>
      <w:lvlText w:val="%3)"/>
      <w:lvlJc w:val="left"/>
      <w:pPr>
        <w:tabs>
          <w:tab w:val="num" w:pos="3969"/>
        </w:tabs>
        <w:ind w:left="0" w:firstLine="0"/>
      </w:pPr>
      <w:rPr>
        <w:rFonts w:hint="default"/>
      </w:rPr>
    </w:lvl>
    <w:lvl w:ilvl="3">
      <w:start w:val="1"/>
      <w:numFmt w:val="decimal"/>
      <w:lvlText w:val="(%4)"/>
      <w:lvlJc w:val="left"/>
      <w:pPr>
        <w:tabs>
          <w:tab w:val="num" w:pos="3969"/>
        </w:tabs>
        <w:ind w:left="0" w:firstLine="0"/>
      </w:pPr>
      <w:rPr>
        <w:rFonts w:hint="default"/>
      </w:rPr>
    </w:lvl>
    <w:lvl w:ilvl="4">
      <w:start w:val="1"/>
      <w:numFmt w:val="lowerLetter"/>
      <w:lvlText w:val="(%5)"/>
      <w:lvlJc w:val="left"/>
      <w:pPr>
        <w:tabs>
          <w:tab w:val="num" w:pos="3969"/>
        </w:tabs>
        <w:ind w:left="0" w:firstLine="0"/>
      </w:pPr>
      <w:rPr>
        <w:rFonts w:hint="default"/>
      </w:rPr>
    </w:lvl>
    <w:lvl w:ilvl="5">
      <w:start w:val="1"/>
      <w:numFmt w:val="lowerRoman"/>
      <w:lvlText w:val="(%6)"/>
      <w:lvlJc w:val="left"/>
      <w:pPr>
        <w:tabs>
          <w:tab w:val="num" w:pos="3969"/>
        </w:tabs>
        <w:ind w:left="0" w:firstLine="0"/>
      </w:pPr>
      <w:rPr>
        <w:rFonts w:hint="default"/>
      </w:rPr>
    </w:lvl>
    <w:lvl w:ilvl="6">
      <w:start w:val="1"/>
      <w:numFmt w:val="decimal"/>
      <w:lvlText w:val="%7."/>
      <w:lvlJc w:val="left"/>
      <w:pPr>
        <w:tabs>
          <w:tab w:val="num" w:pos="3969"/>
        </w:tabs>
        <w:ind w:left="0" w:firstLine="0"/>
      </w:pPr>
      <w:rPr>
        <w:rFonts w:hint="default"/>
      </w:rPr>
    </w:lvl>
    <w:lvl w:ilvl="7">
      <w:start w:val="1"/>
      <w:numFmt w:val="lowerLetter"/>
      <w:lvlText w:val="%8."/>
      <w:lvlJc w:val="left"/>
      <w:pPr>
        <w:tabs>
          <w:tab w:val="num" w:pos="3969"/>
        </w:tabs>
        <w:ind w:left="0" w:firstLine="0"/>
      </w:pPr>
      <w:rPr>
        <w:rFonts w:hint="default"/>
      </w:rPr>
    </w:lvl>
    <w:lvl w:ilvl="8">
      <w:start w:val="1"/>
      <w:numFmt w:val="lowerRoman"/>
      <w:lvlText w:val="%9."/>
      <w:lvlJc w:val="left"/>
      <w:pPr>
        <w:tabs>
          <w:tab w:val="num" w:pos="3969"/>
        </w:tabs>
        <w:ind w:left="0" w:firstLine="0"/>
      </w:pPr>
      <w:rPr>
        <w:rFonts w:hint="default"/>
      </w:rPr>
    </w:lvl>
  </w:abstractNum>
  <w:abstractNum w:abstractNumId="19" w15:restartNumberingAfterBreak="0">
    <w:nsid w:val="3EBD1E36"/>
    <w:multiLevelType w:val="hybridMultilevel"/>
    <w:tmpl w:val="E8D03AB0"/>
    <w:lvl w:ilvl="0" w:tplc="FF3AE528">
      <w:start w:val="1"/>
      <w:numFmt w:val="decimal"/>
      <w:lvlText w:val="(%1)"/>
      <w:lvlJc w:val="left"/>
      <w:pPr>
        <w:ind w:left="360" w:hanging="360"/>
      </w:pPr>
      <w:rPr>
        <w:rFonts w:hint="default"/>
        <w:b w:val="0"/>
        <w:color w:val="0E2841" w:themeColor="text2"/>
        <w:sz w:val="20"/>
      </w:r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20" w15:restartNumberingAfterBreak="0">
    <w:nsid w:val="42C955F4"/>
    <w:multiLevelType w:val="multilevel"/>
    <w:tmpl w:val="450AFF32"/>
    <w:numStyleLink w:val="JRCBoxbulletlist"/>
  </w:abstractNum>
  <w:abstractNum w:abstractNumId="21" w15:restartNumberingAfterBreak="0">
    <w:nsid w:val="43F01959"/>
    <w:multiLevelType w:val="multilevel"/>
    <w:tmpl w:val="CC127896"/>
    <w:styleLink w:val="AboutEUListList"/>
    <w:lvl w:ilvl="0">
      <w:start w:val="1"/>
      <w:numFmt w:val="bullet"/>
      <w:lvlText w:val="—"/>
      <w:lvlJc w:val="left"/>
      <w:pPr>
        <w:ind w:left="924" w:hanging="357"/>
      </w:pPr>
      <w:rPr>
        <w:rFonts w:ascii="Arial" w:hAnsi="Arial" w:hint="default"/>
      </w:rPr>
    </w:lvl>
    <w:lvl w:ilvl="1">
      <w:numFmt w:val="none"/>
      <w:lvlText w:val=""/>
      <w:lvlJc w:val="left"/>
      <w:pPr>
        <w:ind w:left="357" w:hanging="357"/>
      </w:pPr>
      <w:rPr>
        <w:rFonts w:hint="default"/>
      </w:rPr>
    </w:lvl>
    <w:lvl w:ilvl="2">
      <w:numFmt w:val="none"/>
      <w:lvlText w:val=""/>
      <w:lvlJc w:val="left"/>
      <w:pPr>
        <w:ind w:left="-210" w:hanging="357"/>
      </w:pPr>
      <w:rPr>
        <w:rFonts w:hint="default"/>
      </w:rPr>
    </w:lvl>
    <w:lvl w:ilvl="3">
      <w:numFmt w:val="none"/>
      <w:lvlText w:val=""/>
      <w:lvlJc w:val="left"/>
      <w:pPr>
        <w:ind w:left="-777" w:hanging="357"/>
      </w:pPr>
      <w:rPr>
        <w:rFonts w:hint="default"/>
      </w:rPr>
    </w:lvl>
    <w:lvl w:ilvl="4">
      <w:numFmt w:val="none"/>
      <w:lvlText w:val=""/>
      <w:lvlJc w:val="left"/>
      <w:pPr>
        <w:ind w:left="-1344" w:hanging="357"/>
      </w:pPr>
      <w:rPr>
        <w:rFonts w:hint="default"/>
      </w:rPr>
    </w:lvl>
    <w:lvl w:ilvl="5">
      <w:numFmt w:val="none"/>
      <w:lvlText w:val=""/>
      <w:lvlJc w:val="left"/>
      <w:pPr>
        <w:ind w:left="-1911" w:hanging="357"/>
      </w:pPr>
      <w:rPr>
        <w:rFonts w:hint="default"/>
      </w:rPr>
    </w:lvl>
    <w:lvl w:ilvl="6">
      <w:numFmt w:val="none"/>
      <w:lvlText w:val=""/>
      <w:lvlJc w:val="left"/>
      <w:pPr>
        <w:ind w:left="-2478" w:hanging="357"/>
      </w:pPr>
      <w:rPr>
        <w:rFonts w:hint="default"/>
      </w:rPr>
    </w:lvl>
    <w:lvl w:ilvl="7">
      <w:numFmt w:val="none"/>
      <w:lvlText w:val=""/>
      <w:lvlJc w:val="left"/>
      <w:pPr>
        <w:ind w:left="-3045" w:hanging="357"/>
      </w:pPr>
      <w:rPr>
        <w:rFonts w:hint="default"/>
      </w:rPr>
    </w:lvl>
    <w:lvl w:ilvl="8">
      <w:numFmt w:val="none"/>
      <w:lvlText w:val=""/>
      <w:lvlJc w:val="left"/>
      <w:pPr>
        <w:ind w:left="-3612" w:hanging="357"/>
      </w:pPr>
      <w:rPr>
        <w:rFonts w:hint="default"/>
      </w:rPr>
    </w:lvl>
  </w:abstractNum>
  <w:abstractNum w:abstractNumId="22" w15:restartNumberingAfterBreak="0">
    <w:nsid w:val="44CA398A"/>
    <w:multiLevelType w:val="multilevel"/>
    <w:tmpl w:val="0809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481E7681"/>
    <w:multiLevelType w:val="multilevel"/>
    <w:tmpl w:val="2D72F9CC"/>
    <w:numStyleLink w:val="JRCTextbulletedlist"/>
  </w:abstractNum>
  <w:abstractNum w:abstractNumId="24" w15:restartNumberingAfterBreak="0">
    <w:nsid w:val="4CAE7B66"/>
    <w:multiLevelType w:val="multilevel"/>
    <w:tmpl w:val="8D86F5EA"/>
    <w:styleLink w:val="JRCCovercopyrightsList"/>
    <w:lvl w:ilvl="0">
      <w:start w:val="1"/>
      <w:numFmt w:val="bullet"/>
      <w:lvlText w:val="–"/>
      <w:lvlJc w:val="left"/>
      <w:pPr>
        <w:ind w:left="170" w:hanging="170"/>
      </w:pPr>
      <w:rPr>
        <w:rFonts w:ascii="Times New Roman" w:hAnsi="Times New Roman" w:cs="Times New Roman"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5" w15:restartNumberingAfterBreak="0">
    <w:nsid w:val="55212BD4"/>
    <w:multiLevelType w:val="multilevel"/>
    <w:tmpl w:val="84A2B614"/>
    <w:styleLink w:val="JRCTextnumberedlist"/>
    <w:lvl w:ilvl="0">
      <w:start w:val="1"/>
      <w:numFmt w:val="decimal"/>
      <w:pStyle w:val="JRCTextnumberedlist1"/>
      <w:lvlText w:val="%1."/>
      <w:lvlJc w:val="left"/>
      <w:pPr>
        <w:ind w:left="720" w:hanging="360"/>
      </w:pPr>
      <w:rPr>
        <w:rFonts w:asciiTheme="minorHAnsi" w:hAnsiTheme="minorHAnsi" w:hint="default"/>
      </w:rPr>
    </w:lvl>
    <w:lvl w:ilvl="1">
      <w:start w:val="1"/>
      <w:numFmt w:val="lowerLetter"/>
      <w:pStyle w:val="JRCTextnumberedlist2"/>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6" w15:restartNumberingAfterBreak="0">
    <w:nsid w:val="56350753"/>
    <w:multiLevelType w:val="multilevel"/>
    <w:tmpl w:val="2D72F9CC"/>
    <w:numStyleLink w:val="JRCTextbulletedlist"/>
  </w:abstractNum>
  <w:abstractNum w:abstractNumId="27" w15:restartNumberingAfterBreak="0">
    <w:nsid w:val="5B3B35F2"/>
    <w:multiLevelType w:val="multilevel"/>
    <w:tmpl w:val="2D72F9CC"/>
    <w:styleLink w:val="JRCTextbulletedlist"/>
    <w:lvl w:ilvl="0">
      <w:start w:val="1"/>
      <w:numFmt w:val="bullet"/>
      <w:pStyle w:val="JRCTextbulletedlist1"/>
      <w:lvlText w:val="—"/>
      <w:lvlJc w:val="left"/>
      <w:pPr>
        <w:ind w:left="360" w:hanging="360"/>
      </w:pPr>
      <w:rPr>
        <w:rFonts w:ascii="Times New Roman" w:hAnsi="Times New Roman" w:cs="Times New Roman" w:hint="default"/>
      </w:rPr>
    </w:lvl>
    <w:lvl w:ilvl="1">
      <w:start w:val="1"/>
      <w:numFmt w:val="bullet"/>
      <w:pStyle w:val="JRCTextbulletedlist2"/>
      <w:lvlText w:val=""/>
      <w:lvlJc w:val="left"/>
      <w:pPr>
        <w:ind w:left="1080" w:hanging="360"/>
      </w:pPr>
      <w:rPr>
        <w:rFonts w:ascii="Symbol" w:hAnsi="Symbol"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28" w15:restartNumberingAfterBreak="0">
    <w:nsid w:val="65401569"/>
    <w:multiLevelType w:val="multilevel"/>
    <w:tmpl w:val="2D72F9CC"/>
    <w:numStyleLink w:val="JRCTextbulletedlist"/>
  </w:abstractNum>
  <w:abstractNum w:abstractNumId="29" w15:restartNumberingAfterBreak="0">
    <w:nsid w:val="69466106"/>
    <w:multiLevelType w:val="multilevel"/>
    <w:tmpl w:val="2D72F9CC"/>
    <w:numStyleLink w:val="JRCTextbulletedlist"/>
  </w:abstractNum>
  <w:abstractNum w:abstractNumId="30" w15:restartNumberingAfterBreak="0">
    <w:nsid w:val="6C4010EE"/>
    <w:multiLevelType w:val="multilevel"/>
    <w:tmpl w:val="0809001D"/>
    <w:styleLink w:val="1ai"/>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1" w15:restartNumberingAfterBreak="0">
    <w:nsid w:val="6EF759F2"/>
    <w:multiLevelType w:val="multilevel"/>
    <w:tmpl w:val="450AFF32"/>
    <w:styleLink w:val="JRCBoxbulletlist"/>
    <w:lvl w:ilvl="0">
      <w:start w:val="1"/>
      <w:numFmt w:val="bullet"/>
      <w:pStyle w:val="JRCBoxbulletlist1"/>
      <w:lvlText w:val="—"/>
      <w:lvlJc w:val="left"/>
      <w:pPr>
        <w:ind w:left="465" w:hanging="357"/>
      </w:pPr>
      <w:rPr>
        <w:rFonts w:asciiTheme="minorHAnsi" w:hAnsiTheme="minorHAnsi"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2" w15:restartNumberingAfterBreak="0">
    <w:nsid w:val="7A845A68"/>
    <w:multiLevelType w:val="multilevel"/>
    <w:tmpl w:val="EC1EF4B6"/>
    <w:styleLink w:val="JRCLeveledHeadingslist"/>
    <w:lvl w:ilvl="0">
      <w:start w:val="1"/>
      <w:numFmt w:val="decimal"/>
      <w:pStyle w:val="JRCLevel-1title"/>
      <w:lvlText w:val="%1."/>
      <w:lvlJc w:val="left"/>
      <w:pPr>
        <w:ind w:left="2701" w:hanging="432"/>
      </w:pPr>
      <w:rPr>
        <w:rFonts w:hint="default"/>
      </w:rPr>
    </w:lvl>
    <w:lvl w:ilvl="1">
      <w:start w:val="1"/>
      <w:numFmt w:val="decimal"/>
      <w:pStyle w:val="JRCLevel-2title"/>
      <w:lvlText w:val="%1.%2."/>
      <w:lvlJc w:val="left"/>
      <w:pPr>
        <w:ind w:left="576" w:hanging="576"/>
      </w:pPr>
      <w:rPr>
        <w:rFonts w:hint="default"/>
      </w:rPr>
    </w:lvl>
    <w:lvl w:ilvl="2">
      <w:start w:val="1"/>
      <w:numFmt w:val="decimal"/>
      <w:pStyle w:val="JRCLevel-3title"/>
      <w:lvlText w:val="%1.%2.%3."/>
      <w:lvlJc w:val="left"/>
      <w:pPr>
        <w:ind w:left="720" w:hanging="720"/>
      </w:pPr>
      <w:rPr>
        <w:rFonts w:hint="default"/>
      </w:rPr>
    </w:lvl>
    <w:lvl w:ilvl="3">
      <w:start w:val="1"/>
      <w:numFmt w:val="decimal"/>
      <w:pStyle w:val="JRCLevel-4title"/>
      <w:lvlText w:val="%1.%2.%3.%4."/>
      <w:lvlJc w:val="left"/>
      <w:pPr>
        <w:ind w:left="864" w:hanging="864"/>
      </w:pPr>
      <w:rPr>
        <w:rFonts w:hint="default"/>
      </w:rPr>
    </w:lvl>
    <w:lvl w:ilvl="4">
      <w:start w:val="1"/>
      <w:numFmt w:val="decimal"/>
      <w:pStyle w:val="JRCLevel-5title"/>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33" w15:restartNumberingAfterBreak="0">
    <w:nsid w:val="7B1D6D06"/>
    <w:multiLevelType w:val="multilevel"/>
    <w:tmpl w:val="EC1EF4B6"/>
    <w:numStyleLink w:val="JRCLeveledHeadingslist"/>
  </w:abstractNum>
  <w:num w:numId="1" w16cid:durableId="1395007095">
    <w:abstractNumId w:val="9"/>
  </w:num>
  <w:num w:numId="2" w16cid:durableId="172231686">
    <w:abstractNumId w:val="7"/>
  </w:num>
  <w:num w:numId="3" w16cid:durableId="344747059">
    <w:abstractNumId w:val="6"/>
  </w:num>
  <w:num w:numId="4" w16cid:durableId="294260053">
    <w:abstractNumId w:val="5"/>
  </w:num>
  <w:num w:numId="5" w16cid:durableId="373427867">
    <w:abstractNumId w:val="4"/>
  </w:num>
  <w:num w:numId="6" w16cid:durableId="943683533">
    <w:abstractNumId w:val="8"/>
  </w:num>
  <w:num w:numId="7" w16cid:durableId="1934702899">
    <w:abstractNumId w:val="3"/>
  </w:num>
  <w:num w:numId="8" w16cid:durableId="1232539083">
    <w:abstractNumId w:val="2"/>
  </w:num>
  <w:num w:numId="9" w16cid:durableId="1850370557">
    <w:abstractNumId w:val="1"/>
  </w:num>
  <w:num w:numId="10" w16cid:durableId="811210993">
    <w:abstractNumId w:val="0"/>
  </w:num>
  <w:num w:numId="11" w16cid:durableId="2006935546">
    <w:abstractNumId w:val="27"/>
  </w:num>
  <w:num w:numId="12" w16cid:durableId="231277597">
    <w:abstractNumId w:val="32"/>
  </w:num>
  <w:num w:numId="13" w16cid:durableId="1865245755">
    <w:abstractNumId w:val="25"/>
  </w:num>
  <w:num w:numId="14" w16cid:durableId="112214571">
    <w:abstractNumId w:val="31"/>
  </w:num>
  <w:num w:numId="15" w16cid:durableId="1219777442">
    <w:abstractNumId w:val="20"/>
  </w:num>
  <w:num w:numId="16" w16cid:durableId="1430850695">
    <w:abstractNumId w:val="16"/>
  </w:num>
  <w:num w:numId="17" w16cid:durableId="2129274006">
    <w:abstractNumId w:val="21"/>
  </w:num>
  <w:num w:numId="18" w16cid:durableId="44828197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632559782">
    <w:abstractNumId w:val="24"/>
  </w:num>
  <w:num w:numId="20" w16cid:durableId="604776573">
    <w:abstractNumId w:val="18"/>
  </w:num>
  <w:num w:numId="21" w16cid:durableId="1191142342">
    <w:abstractNumId w:val="22"/>
  </w:num>
  <w:num w:numId="22" w16cid:durableId="1868716684">
    <w:abstractNumId w:val="30"/>
  </w:num>
  <w:num w:numId="23" w16cid:durableId="1783573979">
    <w:abstractNumId w:val="17"/>
  </w:num>
  <w:num w:numId="24" w16cid:durableId="2110588624">
    <w:abstractNumId w:val="15"/>
  </w:num>
  <w:num w:numId="25" w16cid:durableId="1249465290">
    <w:abstractNumId w:val="33"/>
  </w:num>
  <w:num w:numId="26" w16cid:durableId="869731362">
    <w:abstractNumId w:val="12"/>
  </w:num>
  <w:num w:numId="27" w16cid:durableId="545877435">
    <w:abstractNumId w:val="29"/>
  </w:num>
  <w:num w:numId="28" w16cid:durableId="1086540676">
    <w:abstractNumId w:val="26"/>
  </w:num>
  <w:num w:numId="29" w16cid:durableId="185217312">
    <w:abstractNumId w:val="23"/>
  </w:num>
  <w:num w:numId="30" w16cid:durableId="1357383597">
    <w:abstractNumId w:val="11"/>
  </w:num>
  <w:num w:numId="31" w16cid:durableId="1735853588">
    <w:abstractNumId w:val="28"/>
  </w:num>
  <w:num w:numId="32" w16cid:durableId="2013332302">
    <w:abstractNumId w:val="13"/>
  </w:num>
  <w:num w:numId="33" w16cid:durableId="410543602">
    <w:abstractNumId w:val="14"/>
  </w:num>
  <w:num w:numId="34" w16cid:durableId="1936982278">
    <w:abstractNumId w:val="19"/>
  </w:num>
  <w:num w:numId="35" w16cid:durableId="414211380">
    <w:abstractNumId w:val="10"/>
  </w:num>
  <w:num w:numId="36" w16cid:durableId="1244418156">
    <w:abstractNumId w:val="33"/>
  </w:num>
  <w:num w:numId="37" w16cid:durableId="590814889">
    <w:abstractNumId w:val="33"/>
  </w:num>
  <w:num w:numId="38" w16cid:durableId="722829024">
    <w:abstractNumId w:val="33"/>
  </w:num>
  <w:num w:numId="39" w16cid:durableId="399862908">
    <w:abstractNumId w:val="33"/>
  </w:num>
  <w:num w:numId="40" w16cid:durableId="1446660248">
    <w:abstractNumId w:val="33"/>
  </w:num>
  <w:num w:numId="41" w16cid:durableId="695622633">
    <w:abstractNumId w:val="33"/>
  </w:num>
  <w:num w:numId="42" w16cid:durableId="2111657224">
    <w:abstractNumId w:val="33"/>
  </w:num>
  <w:num w:numId="43" w16cid:durableId="828011913">
    <w:abstractNumId w:val="33"/>
  </w:num>
  <w:num w:numId="44" w16cid:durableId="856308781">
    <w:abstractNumId w:val="33"/>
  </w:num>
  <w:num w:numId="45" w16cid:durableId="1211696855">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0033"/>
    <w:rsid w:val="00241B55"/>
    <w:rsid w:val="002B17C8"/>
    <w:rsid w:val="005655D9"/>
    <w:rsid w:val="00867127"/>
    <w:rsid w:val="008F7114"/>
    <w:rsid w:val="00B607DA"/>
    <w:rsid w:val="00BA1E77"/>
    <w:rsid w:val="00C30033"/>
    <w:rsid w:val="00C94CD4"/>
    <w:rsid w:val="00CC1C87"/>
    <w:rsid w:val="00DA657E"/>
    <w:rsid w:val="00F2216D"/>
    <w:rsid w:val="00F93D70"/>
  </w:rsids>
  <m:mathPr>
    <m:mathFont m:val="Cambria Math"/>
    <m:brkBin m:val="before"/>
    <m:brkBinSub m:val="--"/>
    <m:smallFrac m:val="0"/>
    <m:dispDef/>
    <m:lMargin m:val="0"/>
    <m:rMargin m:val="0"/>
    <m:defJc m:val="centerGroup"/>
    <m:wrapIndent m:val="1440"/>
    <m:intLim m:val="subSup"/>
    <m:naryLim m:val="undOvr"/>
  </m:mathPr>
  <w:themeFontLang w:val="en-150"/>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710340"/>
  <w15:chartTrackingRefBased/>
  <w15:docId w15:val="{64CC888D-1A01-4D1E-AF4E-8769D139EC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150"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nhideWhenUsed/>
    <w:qFormat/>
    <w:rsid w:val="00C30033"/>
    <w:pPr>
      <w:suppressAutoHyphens/>
      <w:spacing w:before="160" w:line="264" w:lineRule="auto"/>
    </w:pPr>
    <w:rPr>
      <w:kern w:val="0"/>
      <w:sz w:val="22"/>
      <w:szCs w:val="22"/>
      <w:lang w:val="en-GB"/>
      <w14:ligatures w14:val="none"/>
    </w:rPr>
  </w:style>
  <w:style w:type="paragraph" w:styleId="Heading1">
    <w:name w:val="heading 1"/>
    <w:aliases w:val="Title 1"/>
    <w:basedOn w:val="Normal"/>
    <w:next w:val="Normal"/>
    <w:link w:val="Heading1Char"/>
    <w:uiPriority w:val="9"/>
    <w:qFormat/>
    <w:rsid w:val="00C3003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aliases w:val="Title 2"/>
    <w:basedOn w:val="Normal"/>
    <w:next w:val="Normal"/>
    <w:link w:val="Heading2Char"/>
    <w:uiPriority w:val="9"/>
    <w:unhideWhenUsed/>
    <w:qFormat/>
    <w:rsid w:val="00C30033"/>
    <w:pPr>
      <w:keepNext/>
      <w:keepLines/>
      <w:spacing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C30033"/>
    <w:pPr>
      <w:keepNext/>
      <w:keepLines/>
      <w:spacing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C3003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3003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3003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3003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3003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3003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Title 1 Char"/>
    <w:basedOn w:val="DefaultParagraphFont"/>
    <w:link w:val="Heading1"/>
    <w:uiPriority w:val="9"/>
    <w:rsid w:val="00C30033"/>
    <w:rPr>
      <w:rFonts w:asciiTheme="majorHAnsi" w:eastAsiaTheme="majorEastAsia" w:hAnsiTheme="majorHAnsi" w:cstheme="majorBidi"/>
      <w:color w:val="0F4761" w:themeColor="accent1" w:themeShade="BF"/>
      <w:sz w:val="40"/>
      <w:szCs w:val="40"/>
    </w:rPr>
  </w:style>
  <w:style w:type="character" w:customStyle="1" w:styleId="Heading2Char">
    <w:name w:val="Heading 2 Char"/>
    <w:aliases w:val="Title 2 Char"/>
    <w:basedOn w:val="DefaultParagraphFont"/>
    <w:link w:val="Heading2"/>
    <w:uiPriority w:val="9"/>
    <w:rsid w:val="00C3003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C3003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C3003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3003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3003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3003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3003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30033"/>
    <w:rPr>
      <w:rFonts w:eastAsiaTheme="majorEastAsia" w:cstheme="majorBidi"/>
      <w:color w:val="272727" w:themeColor="text1" w:themeTint="D8"/>
    </w:rPr>
  </w:style>
  <w:style w:type="paragraph" w:styleId="Title">
    <w:name w:val="Title"/>
    <w:aliases w:val="Main Title"/>
    <w:basedOn w:val="Normal"/>
    <w:next w:val="Normal"/>
    <w:link w:val="TitleChar"/>
    <w:uiPriority w:val="10"/>
    <w:qFormat/>
    <w:rsid w:val="00C3003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aliases w:val="Main Title Char"/>
    <w:basedOn w:val="DefaultParagraphFont"/>
    <w:link w:val="Title"/>
    <w:uiPriority w:val="10"/>
    <w:rsid w:val="00C30033"/>
    <w:rPr>
      <w:rFonts w:asciiTheme="majorHAnsi" w:eastAsiaTheme="majorEastAsia" w:hAnsiTheme="majorHAnsi" w:cstheme="majorBidi"/>
      <w:spacing w:val="-10"/>
      <w:kern w:val="28"/>
      <w:sz w:val="56"/>
      <w:szCs w:val="56"/>
    </w:rPr>
  </w:style>
  <w:style w:type="paragraph" w:styleId="Subtitle">
    <w:name w:val="Subtitle"/>
    <w:aliases w:val="Little title"/>
    <w:basedOn w:val="Normal"/>
    <w:next w:val="Normal"/>
    <w:link w:val="SubtitleChar"/>
    <w:uiPriority w:val="11"/>
    <w:qFormat/>
    <w:rsid w:val="00C30033"/>
    <w:pPr>
      <w:numPr>
        <w:ilvl w:val="1"/>
      </w:numPr>
    </w:pPr>
    <w:rPr>
      <w:rFonts w:eastAsiaTheme="majorEastAsia" w:cstheme="majorBidi"/>
      <w:color w:val="595959" w:themeColor="text1" w:themeTint="A6"/>
      <w:spacing w:val="15"/>
      <w:sz w:val="28"/>
      <w:szCs w:val="28"/>
    </w:rPr>
  </w:style>
  <w:style w:type="character" w:customStyle="1" w:styleId="SubtitleChar">
    <w:name w:val="Subtitle Char"/>
    <w:aliases w:val="Little title Char"/>
    <w:basedOn w:val="DefaultParagraphFont"/>
    <w:link w:val="Subtitle"/>
    <w:uiPriority w:val="11"/>
    <w:rsid w:val="00C3003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30033"/>
    <w:pPr>
      <w:jc w:val="center"/>
    </w:pPr>
    <w:rPr>
      <w:i/>
      <w:iCs/>
      <w:color w:val="404040" w:themeColor="text1" w:themeTint="BF"/>
    </w:rPr>
  </w:style>
  <w:style w:type="character" w:customStyle="1" w:styleId="QuoteChar">
    <w:name w:val="Quote Char"/>
    <w:basedOn w:val="DefaultParagraphFont"/>
    <w:link w:val="Quote"/>
    <w:uiPriority w:val="29"/>
    <w:rsid w:val="00C30033"/>
    <w:rPr>
      <w:i/>
      <w:iCs/>
      <w:color w:val="404040" w:themeColor="text1" w:themeTint="BF"/>
    </w:rPr>
  </w:style>
  <w:style w:type="paragraph" w:styleId="ListParagraph">
    <w:name w:val="List Paragraph"/>
    <w:basedOn w:val="Normal"/>
    <w:uiPriority w:val="34"/>
    <w:qFormat/>
    <w:rsid w:val="00C30033"/>
    <w:pPr>
      <w:ind w:left="720"/>
      <w:contextualSpacing/>
    </w:pPr>
  </w:style>
  <w:style w:type="character" w:styleId="IntenseEmphasis">
    <w:name w:val="Intense Emphasis"/>
    <w:aliases w:val="Highlight Italic"/>
    <w:basedOn w:val="DefaultParagraphFont"/>
    <w:uiPriority w:val="21"/>
    <w:qFormat/>
    <w:rsid w:val="00C30033"/>
    <w:rPr>
      <w:i/>
      <w:iCs/>
      <w:color w:val="0F4761" w:themeColor="accent1" w:themeShade="BF"/>
    </w:rPr>
  </w:style>
  <w:style w:type="paragraph" w:styleId="IntenseQuote">
    <w:name w:val="Intense Quote"/>
    <w:aliases w:val="Color quote"/>
    <w:basedOn w:val="Normal"/>
    <w:next w:val="Normal"/>
    <w:link w:val="IntenseQuoteChar"/>
    <w:uiPriority w:val="30"/>
    <w:qFormat/>
    <w:rsid w:val="00C3003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aliases w:val="Color quote Char"/>
    <w:basedOn w:val="DefaultParagraphFont"/>
    <w:link w:val="IntenseQuote"/>
    <w:uiPriority w:val="30"/>
    <w:rsid w:val="00C30033"/>
    <w:rPr>
      <w:i/>
      <w:iCs/>
      <w:color w:val="0F4761" w:themeColor="accent1" w:themeShade="BF"/>
    </w:rPr>
  </w:style>
  <w:style w:type="character" w:styleId="IntenseReference">
    <w:name w:val="Intense Reference"/>
    <w:basedOn w:val="DefaultParagraphFont"/>
    <w:uiPriority w:val="32"/>
    <w:qFormat/>
    <w:rsid w:val="00C30033"/>
    <w:rPr>
      <w:b/>
      <w:bCs/>
      <w:smallCaps/>
      <w:color w:val="0F4761" w:themeColor="accent1" w:themeShade="BF"/>
      <w:spacing w:val="5"/>
    </w:rPr>
  </w:style>
  <w:style w:type="paragraph" w:styleId="BalloonText">
    <w:name w:val="Balloon Text"/>
    <w:basedOn w:val="Normal"/>
    <w:link w:val="BalloonTextChar"/>
    <w:uiPriority w:val="99"/>
    <w:semiHidden/>
    <w:unhideWhenUsed/>
    <w:rsid w:val="00C30033"/>
    <w:pPr>
      <w:spacing w:before="0"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30033"/>
    <w:rPr>
      <w:rFonts w:ascii="Segoe UI" w:hAnsi="Segoe UI" w:cs="Segoe UI"/>
      <w:kern w:val="0"/>
      <w:sz w:val="18"/>
      <w:szCs w:val="18"/>
      <w:lang w:val="en-GB"/>
      <w14:ligatures w14:val="none"/>
    </w:rPr>
  </w:style>
  <w:style w:type="paragraph" w:styleId="Bibliography">
    <w:name w:val="Bibliography"/>
    <w:basedOn w:val="Normal"/>
    <w:next w:val="Normal"/>
    <w:uiPriority w:val="37"/>
    <w:semiHidden/>
    <w:unhideWhenUsed/>
    <w:rsid w:val="00C30033"/>
  </w:style>
  <w:style w:type="paragraph" w:styleId="BlockText">
    <w:name w:val="Block Text"/>
    <w:basedOn w:val="Normal"/>
    <w:uiPriority w:val="99"/>
    <w:semiHidden/>
    <w:unhideWhenUsed/>
    <w:rsid w:val="00C30033"/>
    <w:pPr>
      <w:pBdr>
        <w:top w:val="single" w:sz="2" w:space="10" w:color="156082" w:themeColor="accent1"/>
        <w:left w:val="single" w:sz="2" w:space="10" w:color="156082" w:themeColor="accent1"/>
        <w:bottom w:val="single" w:sz="2" w:space="10" w:color="156082" w:themeColor="accent1"/>
        <w:right w:val="single" w:sz="2" w:space="10" w:color="156082" w:themeColor="accent1"/>
      </w:pBdr>
      <w:ind w:left="1152" w:right="1152"/>
    </w:pPr>
    <w:rPr>
      <w:rFonts w:eastAsiaTheme="minorEastAsia"/>
      <w:i/>
      <w:iCs/>
      <w:color w:val="156082" w:themeColor="accent1"/>
    </w:rPr>
  </w:style>
  <w:style w:type="paragraph" w:styleId="BodyText">
    <w:name w:val="Body Text"/>
    <w:basedOn w:val="Normal"/>
    <w:link w:val="BodyTextChar"/>
    <w:uiPriority w:val="99"/>
    <w:unhideWhenUsed/>
    <w:qFormat/>
    <w:rsid w:val="00C30033"/>
  </w:style>
  <w:style w:type="character" w:customStyle="1" w:styleId="BodyTextChar">
    <w:name w:val="Body Text Char"/>
    <w:basedOn w:val="DefaultParagraphFont"/>
    <w:link w:val="BodyText"/>
    <w:uiPriority w:val="99"/>
    <w:rsid w:val="00C30033"/>
    <w:rPr>
      <w:kern w:val="0"/>
      <w:sz w:val="22"/>
      <w:szCs w:val="22"/>
      <w:lang w:val="en-GB"/>
      <w14:ligatures w14:val="none"/>
    </w:rPr>
  </w:style>
  <w:style w:type="paragraph" w:styleId="BodyText2">
    <w:name w:val="Body Text 2"/>
    <w:basedOn w:val="Normal"/>
    <w:link w:val="BodyText2Char"/>
    <w:uiPriority w:val="99"/>
    <w:semiHidden/>
    <w:unhideWhenUsed/>
    <w:rsid w:val="00C30033"/>
    <w:pPr>
      <w:spacing w:line="480" w:lineRule="auto"/>
    </w:pPr>
  </w:style>
  <w:style w:type="character" w:customStyle="1" w:styleId="BodyText2Char">
    <w:name w:val="Body Text 2 Char"/>
    <w:basedOn w:val="DefaultParagraphFont"/>
    <w:link w:val="BodyText2"/>
    <w:uiPriority w:val="99"/>
    <w:semiHidden/>
    <w:rsid w:val="00C30033"/>
    <w:rPr>
      <w:kern w:val="0"/>
      <w:sz w:val="22"/>
      <w:szCs w:val="22"/>
      <w:lang w:val="en-GB"/>
      <w14:ligatures w14:val="none"/>
    </w:rPr>
  </w:style>
  <w:style w:type="paragraph" w:styleId="BodyText3">
    <w:name w:val="Body Text 3"/>
    <w:basedOn w:val="Normal"/>
    <w:link w:val="BodyText3Char"/>
    <w:uiPriority w:val="99"/>
    <w:semiHidden/>
    <w:unhideWhenUsed/>
    <w:rsid w:val="00C30033"/>
    <w:rPr>
      <w:sz w:val="16"/>
      <w:szCs w:val="16"/>
    </w:rPr>
  </w:style>
  <w:style w:type="character" w:customStyle="1" w:styleId="BodyText3Char">
    <w:name w:val="Body Text 3 Char"/>
    <w:basedOn w:val="DefaultParagraphFont"/>
    <w:link w:val="BodyText3"/>
    <w:uiPriority w:val="99"/>
    <w:semiHidden/>
    <w:rsid w:val="00C30033"/>
    <w:rPr>
      <w:kern w:val="0"/>
      <w:sz w:val="16"/>
      <w:szCs w:val="16"/>
      <w:lang w:val="en-GB"/>
      <w14:ligatures w14:val="none"/>
    </w:rPr>
  </w:style>
  <w:style w:type="paragraph" w:styleId="BodyTextFirstIndent">
    <w:name w:val="Body Text First Indent"/>
    <w:basedOn w:val="BodyText"/>
    <w:link w:val="BodyTextFirstIndentChar"/>
    <w:uiPriority w:val="99"/>
    <w:semiHidden/>
    <w:unhideWhenUsed/>
    <w:rsid w:val="00C30033"/>
    <w:pPr>
      <w:ind w:firstLine="360"/>
    </w:pPr>
  </w:style>
  <w:style w:type="character" w:customStyle="1" w:styleId="BodyTextFirstIndentChar">
    <w:name w:val="Body Text First Indent Char"/>
    <w:basedOn w:val="BodyTextChar"/>
    <w:link w:val="BodyTextFirstIndent"/>
    <w:uiPriority w:val="99"/>
    <w:semiHidden/>
    <w:rsid w:val="00C30033"/>
    <w:rPr>
      <w:kern w:val="0"/>
      <w:sz w:val="22"/>
      <w:szCs w:val="22"/>
      <w:lang w:val="en-GB"/>
      <w14:ligatures w14:val="none"/>
    </w:rPr>
  </w:style>
  <w:style w:type="paragraph" w:styleId="BodyTextIndent">
    <w:name w:val="Body Text Indent"/>
    <w:basedOn w:val="Normal"/>
    <w:link w:val="BodyTextIndentChar"/>
    <w:uiPriority w:val="99"/>
    <w:semiHidden/>
    <w:unhideWhenUsed/>
    <w:rsid w:val="00C30033"/>
    <w:pPr>
      <w:ind w:left="283"/>
    </w:pPr>
  </w:style>
  <w:style w:type="character" w:customStyle="1" w:styleId="BodyTextIndentChar">
    <w:name w:val="Body Text Indent Char"/>
    <w:basedOn w:val="DefaultParagraphFont"/>
    <w:link w:val="BodyTextIndent"/>
    <w:uiPriority w:val="99"/>
    <w:semiHidden/>
    <w:rsid w:val="00C30033"/>
    <w:rPr>
      <w:kern w:val="0"/>
      <w:sz w:val="22"/>
      <w:szCs w:val="22"/>
      <w:lang w:val="en-GB"/>
      <w14:ligatures w14:val="none"/>
    </w:rPr>
  </w:style>
  <w:style w:type="paragraph" w:styleId="BodyTextFirstIndent2">
    <w:name w:val="Body Text First Indent 2"/>
    <w:basedOn w:val="BodyTextIndent"/>
    <w:link w:val="BodyTextFirstIndent2Char"/>
    <w:uiPriority w:val="99"/>
    <w:semiHidden/>
    <w:unhideWhenUsed/>
    <w:rsid w:val="00C30033"/>
    <w:pPr>
      <w:ind w:left="360" w:firstLine="360"/>
    </w:pPr>
  </w:style>
  <w:style w:type="character" w:customStyle="1" w:styleId="BodyTextFirstIndent2Char">
    <w:name w:val="Body Text First Indent 2 Char"/>
    <w:basedOn w:val="BodyTextIndentChar"/>
    <w:link w:val="BodyTextFirstIndent2"/>
    <w:uiPriority w:val="99"/>
    <w:semiHidden/>
    <w:rsid w:val="00C30033"/>
    <w:rPr>
      <w:kern w:val="0"/>
      <w:sz w:val="22"/>
      <w:szCs w:val="22"/>
      <w:lang w:val="en-GB"/>
      <w14:ligatures w14:val="none"/>
    </w:rPr>
  </w:style>
  <w:style w:type="paragraph" w:styleId="BodyTextIndent2">
    <w:name w:val="Body Text Indent 2"/>
    <w:basedOn w:val="Normal"/>
    <w:link w:val="BodyTextIndent2Char"/>
    <w:uiPriority w:val="99"/>
    <w:semiHidden/>
    <w:unhideWhenUsed/>
    <w:rsid w:val="00C30033"/>
    <w:pPr>
      <w:spacing w:line="480" w:lineRule="auto"/>
      <w:ind w:left="283"/>
    </w:pPr>
  </w:style>
  <w:style w:type="character" w:customStyle="1" w:styleId="BodyTextIndent2Char">
    <w:name w:val="Body Text Indent 2 Char"/>
    <w:basedOn w:val="DefaultParagraphFont"/>
    <w:link w:val="BodyTextIndent2"/>
    <w:uiPriority w:val="99"/>
    <w:semiHidden/>
    <w:rsid w:val="00C30033"/>
    <w:rPr>
      <w:kern w:val="0"/>
      <w:sz w:val="22"/>
      <w:szCs w:val="22"/>
      <w:lang w:val="en-GB"/>
      <w14:ligatures w14:val="none"/>
    </w:rPr>
  </w:style>
  <w:style w:type="paragraph" w:styleId="BodyTextIndent3">
    <w:name w:val="Body Text Indent 3"/>
    <w:basedOn w:val="Normal"/>
    <w:link w:val="BodyTextIndent3Char"/>
    <w:uiPriority w:val="99"/>
    <w:semiHidden/>
    <w:unhideWhenUsed/>
    <w:rsid w:val="00C30033"/>
    <w:pPr>
      <w:ind w:left="283"/>
    </w:pPr>
    <w:rPr>
      <w:sz w:val="16"/>
      <w:szCs w:val="16"/>
    </w:rPr>
  </w:style>
  <w:style w:type="character" w:customStyle="1" w:styleId="BodyTextIndent3Char">
    <w:name w:val="Body Text Indent 3 Char"/>
    <w:basedOn w:val="DefaultParagraphFont"/>
    <w:link w:val="BodyTextIndent3"/>
    <w:uiPriority w:val="99"/>
    <w:semiHidden/>
    <w:rsid w:val="00C30033"/>
    <w:rPr>
      <w:kern w:val="0"/>
      <w:sz w:val="16"/>
      <w:szCs w:val="16"/>
      <w:lang w:val="en-GB"/>
      <w14:ligatures w14:val="none"/>
    </w:rPr>
  </w:style>
  <w:style w:type="paragraph" w:styleId="Caption">
    <w:name w:val="caption"/>
    <w:basedOn w:val="Normal"/>
    <w:next w:val="JRCTabletitle"/>
    <w:uiPriority w:val="35"/>
    <w:unhideWhenUsed/>
    <w:qFormat/>
    <w:rsid w:val="00C30033"/>
    <w:pPr>
      <w:keepNext/>
      <w:keepLines/>
      <w:spacing w:before="240"/>
    </w:pPr>
    <w:rPr>
      <w:iCs/>
      <w:sz w:val="20"/>
      <w:szCs w:val="18"/>
    </w:rPr>
  </w:style>
  <w:style w:type="paragraph" w:styleId="Closing">
    <w:name w:val="Closing"/>
    <w:basedOn w:val="Normal"/>
    <w:link w:val="ClosingChar"/>
    <w:uiPriority w:val="99"/>
    <w:semiHidden/>
    <w:unhideWhenUsed/>
    <w:rsid w:val="00C30033"/>
    <w:pPr>
      <w:spacing w:before="0" w:after="0" w:line="240" w:lineRule="auto"/>
      <w:ind w:left="4252"/>
    </w:pPr>
  </w:style>
  <w:style w:type="character" w:customStyle="1" w:styleId="ClosingChar">
    <w:name w:val="Closing Char"/>
    <w:basedOn w:val="DefaultParagraphFont"/>
    <w:link w:val="Closing"/>
    <w:uiPriority w:val="99"/>
    <w:semiHidden/>
    <w:rsid w:val="00C30033"/>
    <w:rPr>
      <w:kern w:val="0"/>
      <w:sz w:val="22"/>
      <w:szCs w:val="22"/>
      <w:lang w:val="en-GB"/>
      <w14:ligatures w14:val="none"/>
    </w:rPr>
  </w:style>
  <w:style w:type="paragraph" w:styleId="CommentText">
    <w:name w:val="annotation text"/>
    <w:basedOn w:val="Normal"/>
    <w:link w:val="CommentTextChar"/>
    <w:uiPriority w:val="99"/>
    <w:unhideWhenUsed/>
    <w:rsid w:val="00C30033"/>
    <w:pPr>
      <w:spacing w:line="240" w:lineRule="auto"/>
    </w:pPr>
    <w:rPr>
      <w:sz w:val="20"/>
      <w:szCs w:val="20"/>
    </w:rPr>
  </w:style>
  <w:style w:type="character" w:customStyle="1" w:styleId="CommentTextChar">
    <w:name w:val="Comment Text Char"/>
    <w:basedOn w:val="DefaultParagraphFont"/>
    <w:link w:val="CommentText"/>
    <w:uiPriority w:val="99"/>
    <w:rsid w:val="00C30033"/>
    <w:rPr>
      <w:kern w:val="0"/>
      <w:sz w:val="20"/>
      <w:szCs w:val="20"/>
      <w:lang w:val="en-GB"/>
      <w14:ligatures w14:val="none"/>
    </w:rPr>
  </w:style>
  <w:style w:type="paragraph" w:styleId="CommentSubject">
    <w:name w:val="annotation subject"/>
    <w:basedOn w:val="CommentText"/>
    <w:next w:val="CommentText"/>
    <w:link w:val="CommentSubjectChar"/>
    <w:uiPriority w:val="99"/>
    <w:semiHidden/>
    <w:unhideWhenUsed/>
    <w:rsid w:val="00C30033"/>
    <w:rPr>
      <w:b/>
      <w:bCs/>
    </w:rPr>
  </w:style>
  <w:style w:type="character" w:customStyle="1" w:styleId="CommentSubjectChar">
    <w:name w:val="Comment Subject Char"/>
    <w:basedOn w:val="CommentTextChar"/>
    <w:link w:val="CommentSubject"/>
    <w:uiPriority w:val="99"/>
    <w:semiHidden/>
    <w:rsid w:val="00C30033"/>
    <w:rPr>
      <w:b/>
      <w:bCs/>
      <w:kern w:val="0"/>
      <w:sz w:val="20"/>
      <w:szCs w:val="20"/>
      <w:lang w:val="en-GB"/>
      <w14:ligatures w14:val="none"/>
    </w:rPr>
  </w:style>
  <w:style w:type="paragraph" w:styleId="Date">
    <w:name w:val="Date"/>
    <w:basedOn w:val="Normal"/>
    <w:next w:val="Normal"/>
    <w:link w:val="DateChar"/>
    <w:uiPriority w:val="99"/>
    <w:semiHidden/>
    <w:unhideWhenUsed/>
    <w:rsid w:val="00C30033"/>
  </w:style>
  <w:style w:type="character" w:customStyle="1" w:styleId="DateChar">
    <w:name w:val="Date Char"/>
    <w:basedOn w:val="DefaultParagraphFont"/>
    <w:link w:val="Date"/>
    <w:uiPriority w:val="99"/>
    <w:semiHidden/>
    <w:rsid w:val="00C30033"/>
    <w:rPr>
      <w:kern w:val="0"/>
      <w:sz w:val="22"/>
      <w:szCs w:val="22"/>
      <w:lang w:val="en-GB"/>
      <w14:ligatures w14:val="none"/>
    </w:rPr>
  </w:style>
  <w:style w:type="paragraph" w:styleId="DocumentMap">
    <w:name w:val="Document Map"/>
    <w:basedOn w:val="Normal"/>
    <w:link w:val="DocumentMapChar"/>
    <w:uiPriority w:val="99"/>
    <w:semiHidden/>
    <w:unhideWhenUsed/>
    <w:rsid w:val="00C30033"/>
    <w:pPr>
      <w:spacing w:before="0" w:after="0" w:line="240" w:lineRule="auto"/>
    </w:pPr>
    <w:rPr>
      <w:rFonts w:ascii="Segoe UI" w:hAnsi="Segoe UI" w:cs="Segoe UI"/>
      <w:sz w:val="16"/>
      <w:szCs w:val="16"/>
    </w:rPr>
  </w:style>
  <w:style w:type="character" w:customStyle="1" w:styleId="DocumentMapChar">
    <w:name w:val="Document Map Char"/>
    <w:basedOn w:val="DefaultParagraphFont"/>
    <w:link w:val="DocumentMap"/>
    <w:uiPriority w:val="99"/>
    <w:semiHidden/>
    <w:rsid w:val="00C30033"/>
    <w:rPr>
      <w:rFonts w:ascii="Segoe UI" w:hAnsi="Segoe UI" w:cs="Segoe UI"/>
      <w:kern w:val="0"/>
      <w:sz w:val="16"/>
      <w:szCs w:val="16"/>
      <w:lang w:val="en-GB"/>
      <w14:ligatures w14:val="none"/>
    </w:rPr>
  </w:style>
  <w:style w:type="paragraph" w:styleId="E-mailSignature">
    <w:name w:val="E-mail Signature"/>
    <w:basedOn w:val="Normal"/>
    <w:link w:val="E-mailSignatureChar"/>
    <w:uiPriority w:val="99"/>
    <w:semiHidden/>
    <w:unhideWhenUsed/>
    <w:rsid w:val="00C30033"/>
    <w:pPr>
      <w:spacing w:before="0" w:after="0" w:line="240" w:lineRule="auto"/>
    </w:pPr>
  </w:style>
  <w:style w:type="character" w:customStyle="1" w:styleId="E-mailSignatureChar">
    <w:name w:val="E-mail Signature Char"/>
    <w:basedOn w:val="DefaultParagraphFont"/>
    <w:link w:val="E-mailSignature"/>
    <w:uiPriority w:val="99"/>
    <w:semiHidden/>
    <w:rsid w:val="00C30033"/>
    <w:rPr>
      <w:kern w:val="0"/>
      <w:sz w:val="22"/>
      <w:szCs w:val="22"/>
      <w:lang w:val="en-GB"/>
      <w14:ligatures w14:val="none"/>
    </w:rPr>
  </w:style>
  <w:style w:type="paragraph" w:styleId="EndnoteText">
    <w:name w:val="endnote text"/>
    <w:basedOn w:val="Normal"/>
    <w:link w:val="EndnoteTextChar"/>
    <w:uiPriority w:val="99"/>
    <w:semiHidden/>
    <w:unhideWhenUsed/>
    <w:rsid w:val="00C30033"/>
    <w:pPr>
      <w:spacing w:before="0" w:after="0" w:line="240" w:lineRule="auto"/>
    </w:pPr>
    <w:rPr>
      <w:sz w:val="20"/>
      <w:szCs w:val="20"/>
    </w:rPr>
  </w:style>
  <w:style w:type="character" w:customStyle="1" w:styleId="EndnoteTextChar">
    <w:name w:val="Endnote Text Char"/>
    <w:basedOn w:val="DefaultParagraphFont"/>
    <w:link w:val="EndnoteText"/>
    <w:uiPriority w:val="99"/>
    <w:semiHidden/>
    <w:rsid w:val="00C30033"/>
    <w:rPr>
      <w:kern w:val="0"/>
      <w:sz w:val="20"/>
      <w:szCs w:val="20"/>
      <w:lang w:val="en-GB"/>
      <w14:ligatures w14:val="none"/>
    </w:rPr>
  </w:style>
  <w:style w:type="paragraph" w:styleId="EnvelopeAddress">
    <w:name w:val="envelope address"/>
    <w:basedOn w:val="Normal"/>
    <w:uiPriority w:val="99"/>
    <w:semiHidden/>
    <w:unhideWhenUsed/>
    <w:rsid w:val="00C30033"/>
    <w:pPr>
      <w:framePr w:w="7920" w:h="1980" w:hRule="exact" w:hSpace="180" w:wrap="auto" w:hAnchor="page" w:xAlign="center" w:yAlign="bottom"/>
      <w:spacing w:before="0" w:after="0" w:line="240" w:lineRule="auto"/>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unhideWhenUsed/>
    <w:rsid w:val="00C30033"/>
    <w:pPr>
      <w:spacing w:before="0" w:after="0" w:line="240" w:lineRule="auto"/>
    </w:pPr>
    <w:rPr>
      <w:rFonts w:asciiTheme="majorHAnsi" w:eastAsiaTheme="majorEastAsia" w:hAnsiTheme="majorHAnsi" w:cstheme="majorBidi"/>
      <w:sz w:val="20"/>
      <w:szCs w:val="20"/>
    </w:rPr>
  </w:style>
  <w:style w:type="paragraph" w:styleId="Footer">
    <w:name w:val="footer"/>
    <w:basedOn w:val="Normal"/>
    <w:link w:val="FooterChar"/>
    <w:uiPriority w:val="99"/>
    <w:unhideWhenUsed/>
    <w:rsid w:val="00C30033"/>
    <w:pPr>
      <w:tabs>
        <w:tab w:val="center" w:pos="4513"/>
        <w:tab w:val="right" w:pos="9026"/>
      </w:tabs>
      <w:spacing w:before="0" w:after="0" w:line="240" w:lineRule="auto"/>
      <w:jc w:val="center"/>
    </w:pPr>
    <w:rPr>
      <w:rFonts w:eastAsia="Times New Roman" w:cs="Times New Roman"/>
      <w:sz w:val="20"/>
      <w:lang w:eastAsia="en-GB"/>
    </w:rPr>
  </w:style>
  <w:style w:type="character" w:customStyle="1" w:styleId="FooterChar">
    <w:name w:val="Footer Char"/>
    <w:basedOn w:val="DefaultParagraphFont"/>
    <w:link w:val="Footer"/>
    <w:uiPriority w:val="99"/>
    <w:rsid w:val="00C30033"/>
    <w:rPr>
      <w:rFonts w:eastAsia="Times New Roman" w:cs="Times New Roman"/>
      <w:kern w:val="0"/>
      <w:sz w:val="20"/>
      <w:szCs w:val="22"/>
      <w:lang w:val="en-GB" w:eastAsia="en-GB"/>
      <w14:ligatures w14:val="none"/>
    </w:rPr>
  </w:style>
  <w:style w:type="paragraph" w:styleId="FootnoteText">
    <w:name w:val="footnote text"/>
    <w:basedOn w:val="Normal"/>
    <w:link w:val="FootnoteTextChar"/>
    <w:uiPriority w:val="99"/>
    <w:unhideWhenUsed/>
    <w:rsid w:val="00C30033"/>
    <w:pPr>
      <w:spacing w:before="60" w:after="0" w:line="240" w:lineRule="auto"/>
      <w:ind w:left="425" w:hanging="425"/>
    </w:pPr>
    <w:rPr>
      <w:sz w:val="18"/>
      <w:szCs w:val="20"/>
    </w:rPr>
  </w:style>
  <w:style w:type="character" w:customStyle="1" w:styleId="FootnoteTextChar">
    <w:name w:val="Footnote Text Char"/>
    <w:basedOn w:val="DefaultParagraphFont"/>
    <w:link w:val="FootnoteText"/>
    <w:uiPriority w:val="99"/>
    <w:rsid w:val="00C30033"/>
    <w:rPr>
      <w:kern w:val="0"/>
      <w:sz w:val="18"/>
      <w:szCs w:val="20"/>
      <w:lang w:val="en-GB"/>
      <w14:ligatures w14:val="none"/>
    </w:rPr>
  </w:style>
  <w:style w:type="paragraph" w:styleId="Header">
    <w:name w:val="header"/>
    <w:basedOn w:val="Normal"/>
    <w:link w:val="HeaderChar"/>
    <w:uiPriority w:val="99"/>
    <w:unhideWhenUsed/>
    <w:rsid w:val="00C30033"/>
    <w:pPr>
      <w:tabs>
        <w:tab w:val="center" w:pos="4513"/>
        <w:tab w:val="right" w:pos="9026"/>
      </w:tabs>
      <w:spacing w:before="0" w:after="0" w:line="240" w:lineRule="auto"/>
      <w:jc w:val="center"/>
    </w:pPr>
    <w:rPr>
      <w:rFonts w:ascii="EC Square Sans Pro" w:eastAsia="Times New Roman" w:hAnsi="EC Square Sans Pro" w:cs="Times New Roman"/>
      <w:sz w:val="20"/>
      <w:lang w:eastAsia="en-GB"/>
    </w:rPr>
  </w:style>
  <w:style w:type="character" w:customStyle="1" w:styleId="HeaderChar">
    <w:name w:val="Header Char"/>
    <w:basedOn w:val="DefaultParagraphFont"/>
    <w:link w:val="Header"/>
    <w:uiPriority w:val="99"/>
    <w:rsid w:val="00C30033"/>
    <w:rPr>
      <w:rFonts w:ascii="EC Square Sans Pro" w:eastAsia="Times New Roman" w:hAnsi="EC Square Sans Pro" w:cs="Times New Roman"/>
      <w:kern w:val="0"/>
      <w:sz w:val="20"/>
      <w:szCs w:val="22"/>
      <w:lang w:val="en-GB" w:eastAsia="en-GB"/>
      <w14:ligatures w14:val="none"/>
    </w:rPr>
  </w:style>
  <w:style w:type="paragraph" w:styleId="HTMLAddress">
    <w:name w:val="HTML Address"/>
    <w:basedOn w:val="Normal"/>
    <w:link w:val="HTMLAddressChar"/>
    <w:uiPriority w:val="99"/>
    <w:semiHidden/>
    <w:unhideWhenUsed/>
    <w:rsid w:val="00C30033"/>
    <w:pPr>
      <w:spacing w:before="0" w:after="0" w:line="240" w:lineRule="auto"/>
    </w:pPr>
    <w:rPr>
      <w:i/>
      <w:iCs/>
    </w:rPr>
  </w:style>
  <w:style w:type="character" w:customStyle="1" w:styleId="HTMLAddressChar">
    <w:name w:val="HTML Address Char"/>
    <w:basedOn w:val="DefaultParagraphFont"/>
    <w:link w:val="HTMLAddress"/>
    <w:uiPriority w:val="99"/>
    <w:semiHidden/>
    <w:rsid w:val="00C30033"/>
    <w:rPr>
      <w:i/>
      <w:iCs/>
      <w:kern w:val="0"/>
      <w:sz w:val="22"/>
      <w:szCs w:val="22"/>
      <w:lang w:val="en-GB"/>
      <w14:ligatures w14:val="none"/>
    </w:rPr>
  </w:style>
  <w:style w:type="paragraph" w:styleId="HTMLPreformatted">
    <w:name w:val="HTML Preformatted"/>
    <w:basedOn w:val="Normal"/>
    <w:link w:val="HTMLPreformattedChar"/>
    <w:uiPriority w:val="99"/>
    <w:semiHidden/>
    <w:unhideWhenUsed/>
    <w:rsid w:val="00C30033"/>
    <w:pPr>
      <w:spacing w:before="0"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C30033"/>
    <w:rPr>
      <w:rFonts w:ascii="Consolas" w:hAnsi="Consolas"/>
      <w:kern w:val="0"/>
      <w:sz w:val="20"/>
      <w:szCs w:val="20"/>
      <w:lang w:val="en-GB"/>
      <w14:ligatures w14:val="none"/>
    </w:rPr>
  </w:style>
  <w:style w:type="paragraph" w:styleId="Index1">
    <w:name w:val="index 1"/>
    <w:basedOn w:val="Normal"/>
    <w:next w:val="Normal"/>
    <w:autoRedefine/>
    <w:uiPriority w:val="99"/>
    <w:semiHidden/>
    <w:unhideWhenUsed/>
    <w:rsid w:val="00C30033"/>
    <w:pPr>
      <w:spacing w:before="0" w:after="0" w:line="240" w:lineRule="auto"/>
      <w:ind w:left="220" w:hanging="220"/>
    </w:pPr>
  </w:style>
  <w:style w:type="paragraph" w:styleId="Index2">
    <w:name w:val="index 2"/>
    <w:basedOn w:val="Normal"/>
    <w:next w:val="Normal"/>
    <w:autoRedefine/>
    <w:uiPriority w:val="99"/>
    <w:semiHidden/>
    <w:unhideWhenUsed/>
    <w:rsid w:val="00C30033"/>
    <w:pPr>
      <w:spacing w:before="0" w:after="0" w:line="240" w:lineRule="auto"/>
      <w:ind w:left="440" w:hanging="220"/>
    </w:pPr>
  </w:style>
  <w:style w:type="paragraph" w:styleId="Index3">
    <w:name w:val="index 3"/>
    <w:basedOn w:val="Normal"/>
    <w:next w:val="Normal"/>
    <w:autoRedefine/>
    <w:uiPriority w:val="99"/>
    <w:semiHidden/>
    <w:unhideWhenUsed/>
    <w:rsid w:val="00C30033"/>
    <w:pPr>
      <w:spacing w:before="0" w:after="0" w:line="240" w:lineRule="auto"/>
      <w:ind w:left="660" w:hanging="220"/>
    </w:pPr>
  </w:style>
  <w:style w:type="paragraph" w:styleId="Index4">
    <w:name w:val="index 4"/>
    <w:basedOn w:val="Normal"/>
    <w:next w:val="Normal"/>
    <w:autoRedefine/>
    <w:uiPriority w:val="99"/>
    <w:semiHidden/>
    <w:unhideWhenUsed/>
    <w:rsid w:val="00C30033"/>
    <w:pPr>
      <w:spacing w:before="0" w:after="0" w:line="240" w:lineRule="auto"/>
      <w:ind w:left="880" w:hanging="220"/>
    </w:pPr>
  </w:style>
  <w:style w:type="paragraph" w:styleId="Index5">
    <w:name w:val="index 5"/>
    <w:basedOn w:val="Normal"/>
    <w:next w:val="Normal"/>
    <w:autoRedefine/>
    <w:uiPriority w:val="99"/>
    <w:semiHidden/>
    <w:unhideWhenUsed/>
    <w:rsid w:val="00C30033"/>
    <w:pPr>
      <w:spacing w:before="0" w:after="0" w:line="240" w:lineRule="auto"/>
      <w:ind w:left="1100" w:hanging="220"/>
    </w:pPr>
  </w:style>
  <w:style w:type="paragraph" w:styleId="Index6">
    <w:name w:val="index 6"/>
    <w:basedOn w:val="Normal"/>
    <w:next w:val="Normal"/>
    <w:autoRedefine/>
    <w:uiPriority w:val="99"/>
    <w:semiHidden/>
    <w:unhideWhenUsed/>
    <w:rsid w:val="00C30033"/>
    <w:pPr>
      <w:spacing w:before="0" w:after="0" w:line="240" w:lineRule="auto"/>
      <w:ind w:left="1320" w:hanging="220"/>
    </w:pPr>
  </w:style>
  <w:style w:type="paragraph" w:styleId="Index7">
    <w:name w:val="index 7"/>
    <w:basedOn w:val="Normal"/>
    <w:next w:val="Normal"/>
    <w:autoRedefine/>
    <w:uiPriority w:val="99"/>
    <w:semiHidden/>
    <w:unhideWhenUsed/>
    <w:rsid w:val="00C30033"/>
    <w:pPr>
      <w:spacing w:before="0" w:after="0" w:line="240" w:lineRule="auto"/>
      <w:ind w:left="1540" w:hanging="220"/>
    </w:pPr>
  </w:style>
  <w:style w:type="paragraph" w:styleId="Index8">
    <w:name w:val="index 8"/>
    <w:basedOn w:val="Normal"/>
    <w:next w:val="Normal"/>
    <w:autoRedefine/>
    <w:uiPriority w:val="99"/>
    <w:semiHidden/>
    <w:unhideWhenUsed/>
    <w:rsid w:val="00C30033"/>
    <w:pPr>
      <w:spacing w:before="0" w:after="0" w:line="240" w:lineRule="auto"/>
      <w:ind w:left="1760" w:hanging="220"/>
    </w:pPr>
  </w:style>
  <w:style w:type="paragraph" w:styleId="Index9">
    <w:name w:val="index 9"/>
    <w:basedOn w:val="Normal"/>
    <w:next w:val="Normal"/>
    <w:autoRedefine/>
    <w:uiPriority w:val="99"/>
    <w:semiHidden/>
    <w:unhideWhenUsed/>
    <w:rsid w:val="00C30033"/>
    <w:pPr>
      <w:spacing w:before="0" w:after="0" w:line="240" w:lineRule="auto"/>
      <w:ind w:left="1980" w:hanging="220"/>
    </w:pPr>
  </w:style>
  <w:style w:type="paragraph" w:styleId="IndexHeading">
    <w:name w:val="index heading"/>
    <w:basedOn w:val="Normal"/>
    <w:next w:val="Index1"/>
    <w:uiPriority w:val="99"/>
    <w:semiHidden/>
    <w:unhideWhenUsed/>
    <w:rsid w:val="00C30033"/>
    <w:rPr>
      <w:rFonts w:asciiTheme="majorHAnsi" w:eastAsiaTheme="majorEastAsia" w:hAnsiTheme="majorHAnsi" w:cstheme="majorBidi"/>
      <w:b/>
      <w:bCs/>
    </w:rPr>
  </w:style>
  <w:style w:type="paragraph" w:styleId="List">
    <w:name w:val="List"/>
    <w:basedOn w:val="Normal"/>
    <w:uiPriority w:val="99"/>
    <w:semiHidden/>
    <w:unhideWhenUsed/>
    <w:rsid w:val="00C30033"/>
    <w:pPr>
      <w:ind w:left="283" w:hanging="283"/>
      <w:contextualSpacing/>
    </w:pPr>
  </w:style>
  <w:style w:type="paragraph" w:styleId="List2">
    <w:name w:val="List 2"/>
    <w:basedOn w:val="Normal"/>
    <w:uiPriority w:val="99"/>
    <w:semiHidden/>
    <w:unhideWhenUsed/>
    <w:rsid w:val="00C30033"/>
    <w:pPr>
      <w:ind w:left="566" w:hanging="283"/>
      <w:contextualSpacing/>
    </w:pPr>
  </w:style>
  <w:style w:type="paragraph" w:styleId="List3">
    <w:name w:val="List 3"/>
    <w:basedOn w:val="Normal"/>
    <w:uiPriority w:val="99"/>
    <w:semiHidden/>
    <w:unhideWhenUsed/>
    <w:rsid w:val="00C30033"/>
    <w:pPr>
      <w:ind w:left="849" w:hanging="283"/>
      <w:contextualSpacing/>
    </w:pPr>
  </w:style>
  <w:style w:type="paragraph" w:styleId="List4">
    <w:name w:val="List 4"/>
    <w:basedOn w:val="Normal"/>
    <w:uiPriority w:val="99"/>
    <w:semiHidden/>
    <w:unhideWhenUsed/>
    <w:rsid w:val="00C30033"/>
    <w:pPr>
      <w:ind w:left="1132" w:hanging="283"/>
      <w:contextualSpacing/>
    </w:pPr>
  </w:style>
  <w:style w:type="paragraph" w:styleId="List5">
    <w:name w:val="List 5"/>
    <w:basedOn w:val="Normal"/>
    <w:uiPriority w:val="99"/>
    <w:semiHidden/>
    <w:unhideWhenUsed/>
    <w:rsid w:val="00C30033"/>
    <w:pPr>
      <w:ind w:left="1415" w:hanging="283"/>
      <w:contextualSpacing/>
    </w:pPr>
  </w:style>
  <w:style w:type="paragraph" w:styleId="ListBullet">
    <w:name w:val="List Bullet"/>
    <w:basedOn w:val="Normal"/>
    <w:uiPriority w:val="99"/>
    <w:semiHidden/>
    <w:unhideWhenUsed/>
    <w:rsid w:val="00C30033"/>
    <w:pPr>
      <w:numPr>
        <w:numId w:val="1"/>
      </w:numPr>
      <w:tabs>
        <w:tab w:val="clear" w:pos="360"/>
      </w:tabs>
      <w:ind w:left="0" w:firstLine="0"/>
      <w:contextualSpacing/>
    </w:pPr>
  </w:style>
  <w:style w:type="paragraph" w:styleId="ListBullet2">
    <w:name w:val="List Bullet 2"/>
    <w:basedOn w:val="Normal"/>
    <w:uiPriority w:val="99"/>
    <w:semiHidden/>
    <w:unhideWhenUsed/>
    <w:rsid w:val="00C30033"/>
    <w:pPr>
      <w:numPr>
        <w:numId w:val="2"/>
      </w:numPr>
      <w:tabs>
        <w:tab w:val="clear" w:pos="643"/>
      </w:tabs>
      <w:ind w:left="0" w:firstLine="0"/>
      <w:contextualSpacing/>
    </w:pPr>
  </w:style>
  <w:style w:type="paragraph" w:styleId="ListBullet3">
    <w:name w:val="List Bullet 3"/>
    <w:basedOn w:val="Normal"/>
    <w:uiPriority w:val="99"/>
    <w:semiHidden/>
    <w:unhideWhenUsed/>
    <w:rsid w:val="00C30033"/>
    <w:pPr>
      <w:numPr>
        <w:numId w:val="3"/>
      </w:numPr>
      <w:tabs>
        <w:tab w:val="clear" w:pos="926"/>
      </w:tabs>
      <w:ind w:left="0" w:firstLine="0"/>
      <w:contextualSpacing/>
    </w:pPr>
  </w:style>
  <w:style w:type="paragraph" w:styleId="ListBullet4">
    <w:name w:val="List Bullet 4"/>
    <w:basedOn w:val="Normal"/>
    <w:uiPriority w:val="99"/>
    <w:semiHidden/>
    <w:unhideWhenUsed/>
    <w:rsid w:val="00C30033"/>
    <w:pPr>
      <w:numPr>
        <w:numId w:val="4"/>
      </w:numPr>
      <w:tabs>
        <w:tab w:val="clear" w:pos="1209"/>
      </w:tabs>
      <w:ind w:left="0" w:firstLine="0"/>
      <w:contextualSpacing/>
    </w:pPr>
  </w:style>
  <w:style w:type="paragraph" w:styleId="ListBullet5">
    <w:name w:val="List Bullet 5"/>
    <w:basedOn w:val="Normal"/>
    <w:uiPriority w:val="99"/>
    <w:semiHidden/>
    <w:unhideWhenUsed/>
    <w:rsid w:val="00C30033"/>
    <w:pPr>
      <w:numPr>
        <w:numId w:val="5"/>
      </w:numPr>
      <w:tabs>
        <w:tab w:val="clear" w:pos="1492"/>
      </w:tabs>
      <w:ind w:left="0" w:firstLine="0"/>
      <w:contextualSpacing/>
    </w:pPr>
  </w:style>
  <w:style w:type="paragraph" w:styleId="ListContinue">
    <w:name w:val="List Continue"/>
    <w:basedOn w:val="Normal"/>
    <w:uiPriority w:val="99"/>
    <w:semiHidden/>
    <w:unhideWhenUsed/>
    <w:rsid w:val="00C30033"/>
    <w:pPr>
      <w:ind w:left="283"/>
      <w:contextualSpacing/>
    </w:pPr>
  </w:style>
  <w:style w:type="paragraph" w:styleId="ListContinue2">
    <w:name w:val="List Continue 2"/>
    <w:basedOn w:val="Normal"/>
    <w:uiPriority w:val="99"/>
    <w:semiHidden/>
    <w:unhideWhenUsed/>
    <w:rsid w:val="00C30033"/>
    <w:pPr>
      <w:ind w:left="566"/>
      <w:contextualSpacing/>
    </w:pPr>
  </w:style>
  <w:style w:type="paragraph" w:styleId="ListContinue3">
    <w:name w:val="List Continue 3"/>
    <w:basedOn w:val="Normal"/>
    <w:uiPriority w:val="99"/>
    <w:semiHidden/>
    <w:unhideWhenUsed/>
    <w:rsid w:val="00C30033"/>
    <w:pPr>
      <w:ind w:left="849"/>
      <w:contextualSpacing/>
    </w:pPr>
  </w:style>
  <w:style w:type="paragraph" w:styleId="ListContinue4">
    <w:name w:val="List Continue 4"/>
    <w:basedOn w:val="Normal"/>
    <w:uiPriority w:val="99"/>
    <w:semiHidden/>
    <w:unhideWhenUsed/>
    <w:rsid w:val="00C30033"/>
    <w:pPr>
      <w:ind w:left="1132"/>
      <w:contextualSpacing/>
    </w:pPr>
  </w:style>
  <w:style w:type="paragraph" w:styleId="ListContinue5">
    <w:name w:val="List Continue 5"/>
    <w:basedOn w:val="Normal"/>
    <w:uiPriority w:val="99"/>
    <w:semiHidden/>
    <w:unhideWhenUsed/>
    <w:rsid w:val="00C30033"/>
    <w:pPr>
      <w:ind w:left="1415"/>
      <w:contextualSpacing/>
    </w:pPr>
  </w:style>
  <w:style w:type="paragraph" w:styleId="ListNumber">
    <w:name w:val="List Number"/>
    <w:basedOn w:val="Normal"/>
    <w:uiPriority w:val="99"/>
    <w:semiHidden/>
    <w:unhideWhenUsed/>
    <w:rsid w:val="00C30033"/>
    <w:pPr>
      <w:numPr>
        <w:numId w:val="6"/>
      </w:numPr>
      <w:tabs>
        <w:tab w:val="clear" w:pos="360"/>
      </w:tabs>
      <w:ind w:left="0" w:firstLine="0"/>
      <w:contextualSpacing/>
    </w:pPr>
  </w:style>
  <w:style w:type="paragraph" w:styleId="ListNumber2">
    <w:name w:val="List Number 2"/>
    <w:basedOn w:val="Normal"/>
    <w:uiPriority w:val="99"/>
    <w:semiHidden/>
    <w:unhideWhenUsed/>
    <w:rsid w:val="00C30033"/>
    <w:pPr>
      <w:numPr>
        <w:numId w:val="7"/>
      </w:numPr>
      <w:tabs>
        <w:tab w:val="clear" w:pos="643"/>
      </w:tabs>
      <w:ind w:left="0" w:firstLine="0"/>
      <w:contextualSpacing/>
    </w:pPr>
  </w:style>
  <w:style w:type="paragraph" w:styleId="ListNumber3">
    <w:name w:val="List Number 3"/>
    <w:basedOn w:val="Normal"/>
    <w:uiPriority w:val="99"/>
    <w:semiHidden/>
    <w:unhideWhenUsed/>
    <w:rsid w:val="00C30033"/>
    <w:pPr>
      <w:numPr>
        <w:numId w:val="8"/>
      </w:numPr>
      <w:tabs>
        <w:tab w:val="clear" w:pos="926"/>
      </w:tabs>
      <w:ind w:left="0" w:firstLine="0"/>
      <w:contextualSpacing/>
    </w:pPr>
  </w:style>
  <w:style w:type="paragraph" w:styleId="ListNumber4">
    <w:name w:val="List Number 4"/>
    <w:basedOn w:val="Normal"/>
    <w:uiPriority w:val="99"/>
    <w:semiHidden/>
    <w:unhideWhenUsed/>
    <w:rsid w:val="00C30033"/>
    <w:pPr>
      <w:numPr>
        <w:numId w:val="9"/>
      </w:numPr>
      <w:tabs>
        <w:tab w:val="clear" w:pos="1209"/>
      </w:tabs>
      <w:ind w:left="0" w:firstLine="0"/>
      <w:contextualSpacing/>
    </w:pPr>
  </w:style>
  <w:style w:type="paragraph" w:styleId="ListNumber5">
    <w:name w:val="List Number 5"/>
    <w:basedOn w:val="Normal"/>
    <w:uiPriority w:val="99"/>
    <w:semiHidden/>
    <w:unhideWhenUsed/>
    <w:rsid w:val="00C30033"/>
    <w:pPr>
      <w:numPr>
        <w:numId w:val="10"/>
      </w:numPr>
      <w:tabs>
        <w:tab w:val="clear" w:pos="1492"/>
      </w:tabs>
      <w:ind w:left="0" w:firstLine="0"/>
      <w:contextualSpacing/>
    </w:pPr>
  </w:style>
  <w:style w:type="paragraph" w:styleId="MacroText">
    <w:name w:val="macro"/>
    <w:link w:val="MacroTextChar"/>
    <w:uiPriority w:val="99"/>
    <w:semiHidden/>
    <w:unhideWhenUsed/>
    <w:rsid w:val="00C30033"/>
    <w:pPr>
      <w:tabs>
        <w:tab w:val="left" w:pos="480"/>
        <w:tab w:val="left" w:pos="960"/>
        <w:tab w:val="left" w:pos="1440"/>
        <w:tab w:val="left" w:pos="1920"/>
        <w:tab w:val="left" w:pos="2400"/>
        <w:tab w:val="left" w:pos="2880"/>
        <w:tab w:val="left" w:pos="3360"/>
        <w:tab w:val="left" w:pos="3840"/>
        <w:tab w:val="left" w:pos="4320"/>
      </w:tabs>
      <w:suppressAutoHyphens/>
      <w:spacing w:before="160" w:after="0" w:line="264" w:lineRule="auto"/>
    </w:pPr>
    <w:rPr>
      <w:rFonts w:ascii="Consolas" w:hAnsi="Consolas"/>
      <w:kern w:val="0"/>
      <w:sz w:val="20"/>
      <w:szCs w:val="20"/>
      <w:lang w:val="en-GB"/>
      <w14:ligatures w14:val="none"/>
    </w:rPr>
  </w:style>
  <w:style w:type="character" w:customStyle="1" w:styleId="MacroTextChar">
    <w:name w:val="Macro Text Char"/>
    <w:basedOn w:val="DefaultParagraphFont"/>
    <w:link w:val="MacroText"/>
    <w:uiPriority w:val="99"/>
    <w:semiHidden/>
    <w:rsid w:val="00C30033"/>
    <w:rPr>
      <w:rFonts w:ascii="Consolas" w:hAnsi="Consolas"/>
      <w:kern w:val="0"/>
      <w:sz w:val="20"/>
      <w:szCs w:val="20"/>
      <w:lang w:val="en-GB"/>
      <w14:ligatures w14:val="none"/>
    </w:rPr>
  </w:style>
  <w:style w:type="paragraph" w:styleId="MessageHeader">
    <w:name w:val="Message Header"/>
    <w:basedOn w:val="Normal"/>
    <w:link w:val="MessageHeaderChar"/>
    <w:uiPriority w:val="99"/>
    <w:semiHidden/>
    <w:unhideWhenUsed/>
    <w:rsid w:val="00C30033"/>
    <w:pPr>
      <w:pBdr>
        <w:top w:val="single" w:sz="6" w:space="1" w:color="auto"/>
        <w:left w:val="single" w:sz="6" w:space="1" w:color="auto"/>
        <w:bottom w:val="single" w:sz="6" w:space="1" w:color="auto"/>
        <w:right w:val="single" w:sz="6" w:space="1" w:color="auto"/>
      </w:pBdr>
      <w:shd w:val="pct20" w:color="auto" w:fill="auto"/>
      <w:spacing w:before="0" w:after="0" w:line="240" w:lineRule="auto"/>
      <w:ind w:left="1134" w:hanging="1134"/>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uiPriority w:val="99"/>
    <w:semiHidden/>
    <w:rsid w:val="00C30033"/>
    <w:rPr>
      <w:rFonts w:asciiTheme="majorHAnsi" w:eastAsiaTheme="majorEastAsia" w:hAnsiTheme="majorHAnsi" w:cstheme="majorBidi"/>
      <w:kern w:val="0"/>
      <w:shd w:val="pct20" w:color="auto" w:fill="auto"/>
      <w:lang w:val="en-GB"/>
      <w14:ligatures w14:val="none"/>
    </w:rPr>
  </w:style>
  <w:style w:type="paragraph" w:styleId="NoSpacing">
    <w:name w:val="No Spacing"/>
    <w:uiPriority w:val="1"/>
    <w:unhideWhenUsed/>
    <w:qFormat/>
    <w:rsid w:val="00C30033"/>
    <w:pPr>
      <w:suppressAutoHyphens/>
      <w:spacing w:after="0" w:line="264" w:lineRule="auto"/>
    </w:pPr>
    <w:rPr>
      <w:kern w:val="0"/>
      <w:sz w:val="22"/>
      <w:szCs w:val="22"/>
      <w:lang w:val="en-GB"/>
      <w14:ligatures w14:val="none"/>
    </w:rPr>
  </w:style>
  <w:style w:type="paragraph" w:styleId="NormalWeb">
    <w:name w:val="Normal (Web)"/>
    <w:basedOn w:val="Normal"/>
    <w:uiPriority w:val="99"/>
    <w:unhideWhenUsed/>
    <w:rsid w:val="00C30033"/>
    <w:rPr>
      <w:rFonts w:ascii="Times New Roman" w:hAnsi="Times New Roman" w:cs="Times New Roman"/>
      <w:sz w:val="24"/>
      <w:szCs w:val="24"/>
    </w:rPr>
  </w:style>
  <w:style w:type="paragraph" w:styleId="NormalIndent">
    <w:name w:val="Normal Indent"/>
    <w:basedOn w:val="Normal"/>
    <w:uiPriority w:val="99"/>
    <w:semiHidden/>
    <w:unhideWhenUsed/>
    <w:rsid w:val="00C30033"/>
    <w:pPr>
      <w:ind w:left="720"/>
    </w:pPr>
  </w:style>
  <w:style w:type="paragraph" w:styleId="NoteHeading">
    <w:name w:val="Note Heading"/>
    <w:basedOn w:val="Normal"/>
    <w:next w:val="Normal"/>
    <w:link w:val="NoteHeadingChar"/>
    <w:uiPriority w:val="99"/>
    <w:semiHidden/>
    <w:unhideWhenUsed/>
    <w:rsid w:val="00C30033"/>
    <w:pPr>
      <w:spacing w:before="0" w:after="0" w:line="240" w:lineRule="auto"/>
    </w:pPr>
  </w:style>
  <w:style w:type="character" w:customStyle="1" w:styleId="NoteHeadingChar">
    <w:name w:val="Note Heading Char"/>
    <w:basedOn w:val="DefaultParagraphFont"/>
    <w:link w:val="NoteHeading"/>
    <w:uiPriority w:val="99"/>
    <w:semiHidden/>
    <w:rsid w:val="00C30033"/>
    <w:rPr>
      <w:kern w:val="0"/>
      <w:sz w:val="22"/>
      <w:szCs w:val="22"/>
      <w:lang w:val="en-GB"/>
      <w14:ligatures w14:val="none"/>
    </w:rPr>
  </w:style>
  <w:style w:type="paragraph" w:styleId="PlainText">
    <w:name w:val="Plain Text"/>
    <w:basedOn w:val="Normal"/>
    <w:link w:val="PlainTextChar"/>
    <w:uiPriority w:val="99"/>
    <w:semiHidden/>
    <w:unhideWhenUsed/>
    <w:rsid w:val="00C30033"/>
    <w:pPr>
      <w:spacing w:before="0" w:after="0" w:line="240" w:lineRule="auto"/>
    </w:pPr>
    <w:rPr>
      <w:rFonts w:ascii="Consolas" w:hAnsi="Consolas"/>
      <w:sz w:val="21"/>
      <w:szCs w:val="21"/>
    </w:rPr>
  </w:style>
  <w:style w:type="character" w:customStyle="1" w:styleId="PlainTextChar">
    <w:name w:val="Plain Text Char"/>
    <w:basedOn w:val="DefaultParagraphFont"/>
    <w:link w:val="PlainText"/>
    <w:uiPriority w:val="99"/>
    <w:semiHidden/>
    <w:rsid w:val="00C30033"/>
    <w:rPr>
      <w:rFonts w:ascii="Consolas" w:hAnsi="Consolas"/>
      <w:kern w:val="0"/>
      <w:sz w:val="21"/>
      <w:szCs w:val="21"/>
      <w:lang w:val="en-GB"/>
      <w14:ligatures w14:val="none"/>
    </w:rPr>
  </w:style>
  <w:style w:type="paragraph" w:styleId="Salutation">
    <w:name w:val="Salutation"/>
    <w:basedOn w:val="Normal"/>
    <w:next w:val="Normal"/>
    <w:link w:val="SalutationChar"/>
    <w:uiPriority w:val="99"/>
    <w:semiHidden/>
    <w:unhideWhenUsed/>
    <w:rsid w:val="00C30033"/>
  </w:style>
  <w:style w:type="character" w:customStyle="1" w:styleId="SalutationChar">
    <w:name w:val="Salutation Char"/>
    <w:basedOn w:val="DefaultParagraphFont"/>
    <w:link w:val="Salutation"/>
    <w:uiPriority w:val="99"/>
    <w:semiHidden/>
    <w:rsid w:val="00C30033"/>
    <w:rPr>
      <w:kern w:val="0"/>
      <w:sz w:val="22"/>
      <w:szCs w:val="22"/>
      <w:lang w:val="en-GB"/>
      <w14:ligatures w14:val="none"/>
    </w:rPr>
  </w:style>
  <w:style w:type="paragraph" w:styleId="Signature">
    <w:name w:val="Signature"/>
    <w:basedOn w:val="Normal"/>
    <w:link w:val="SignatureChar"/>
    <w:uiPriority w:val="99"/>
    <w:semiHidden/>
    <w:unhideWhenUsed/>
    <w:rsid w:val="00C30033"/>
    <w:pPr>
      <w:spacing w:before="0" w:after="0" w:line="240" w:lineRule="auto"/>
      <w:ind w:left="4252"/>
    </w:pPr>
  </w:style>
  <w:style w:type="character" w:customStyle="1" w:styleId="SignatureChar">
    <w:name w:val="Signature Char"/>
    <w:basedOn w:val="DefaultParagraphFont"/>
    <w:link w:val="Signature"/>
    <w:uiPriority w:val="99"/>
    <w:semiHidden/>
    <w:rsid w:val="00C30033"/>
    <w:rPr>
      <w:kern w:val="0"/>
      <w:sz w:val="22"/>
      <w:szCs w:val="22"/>
      <w:lang w:val="en-GB"/>
      <w14:ligatures w14:val="none"/>
    </w:rPr>
  </w:style>
  <w:style w:type="paragraph" w:styleId="TableofAuthorities">
    <w:name w:val="table of authorities"/>
    <w:basedOn w:val="Normal"/>
    <w:next w:val="Normal"/>
    <w:uiPriority w:val="99"/>
    <w:semiHidden/>
    <w:unhideWhenUsed/>
    <w:rsid w:val="00C30033"/>
    <w:pPr>
      <w:spacing w:after="0"/>
      <w:ind w:left="220" w:hanging="220"/>
    </w:pPr>
  </w:style>
  <w:style w:type="paragraph" w:styleId="TableofFigures">
    <w:name w:val="table of figures"/>
    <w:basedOn w:val="Normal"/>
    <w:next w:val="Normal"/>
    <w:uiPriority w:val="99"/>
    <w:rsid w:val="00C30033"/>
    <w:pPr>
      <w:tabs>
        <w:tab w:val="right" w:leader="dot" w:pos="9061"/>
      </w:tabs>
    </w:pPr>
    <w:rPr>
      <w:rFonts w:ascii="EC Square Sans Pro" w:eastAsia="Calibri" w:hAnsi="EC Square Sans Pro" w:cs="Times New Roman"/>
    </w:rPr>
  </w:style>
  <w:style w:type="paragraph" w:styleId="TOAHeading">
    <w:name w:val="toa heading"/>
    <w:basedOn w:val="Normal"/>
    <w:next w:val="Normal"/>
    <w:uiPriority w:val="99"/>
    <w:semiHidden/>
    <w:unhideWhenUsed/>
    <w:rsid w:val="00C30033"/>
    <w:rPr>
      <w:rFonts w:asciiTheme="majorHAnsi" w:eastAsiaTheme="majorEastAsia" w:hAnsiTheme="majorHAnsi" w:cstheme="majorBidi"/>
      <w:b/>
      <w:bCs/>
      <w:sz w:val="24"/>
      <w:szCs w:val="24"/>
    </w:rPr>
  </w:style>
  <w:style w:type="paragraph" w:styleId="TOC1">
    <w:name w:val="toc 1"/>
    <w:basedOn w:val="Normal"/>
    <w:next w:val="Normal"/>
    <w:uiPriority w:val="39"/>
    <w:unhideWhenUsed/>
    <w:rsid w:val="00C30033"/>
    <w:pPr>
      <w:tabs>
        <w:tab w:val="left" w:pos="284"/>
        <w:tab w:val="right" w:leader="dot" w:pos="9016"/>
      </w:tabs>
    </w:pPr>
    <w:rPr>
      <w:rFonts w:eastAsia="Calibri" w:cs="Times New Roman"/>
    </w:rPr>
  </w:style>
  <w:style w:type="paragraph" w:styleId="TOC2">
    <w:name w:val="toc 2"/>
    <w:basedOn w:val="Normal"/>
    <w:next w:val="Normal"/>
    <w:uiPriority w:val="39"/>
    <w:unhideWhenUsed/>
    <w:rsid w:val="00C30033"/>
    <w:pPr>
      <w:tabs>
        <w:tab w:val="left" w:pos="709"/>
        <w:tab w:val="right" w:leader="dot" w:pos="9016"/>
      </w:tabs>
      <w:ind w:left="709" w:hanging="425"/>
    </w:pPr>
    <w:rPr>
      <w:rFonts w:eastAsia="Calibri" w:cs="Times New Roman"/>
    </w:rPr>
  </w:style>
  <w:style w:type="paragraph" w:styleId="TOC3">
    <w:name w:val="toc 3"/>
    <w:basedOn w:val="Normal"/>
    <w:next w:val="Normal"/>
    <w:uiPriority w:val="39"/>
    <w:unhideWhenUsed/>
    <w:rsid w:val="00C30033"/>
    <w:pPr>
      <w:tabs>
        <w:tab w:val="left" w:pos="1276"/>
        <w:tab w:val="right" w:leader="dot" w:pos="9016"/>
      </w:tabs>
      <w:ind w:left="1275" w:hanging="595"/>
    </w:pPr>
    <w:rPr>
      <w:rFonts w:eastAsia="Calibri" w:cs="Times New Roman"/>
    </w:rPr>
  </w:style>
  <w:style w:type="paragraph" w:styleId="TOC4">
    <w:name w:val="toc 4"/>
    <w:basedOn w:val="Normal"/>
    <w:next w:val="Normal"/>
    <w:uiPriority w:val="39"/>
    <w:unhideWhenUsed/>
    <w:rsid w:val="00C30033"/>
    <w:pPr>
      <w:tabs>
        <w:tab w:val="left" w:pos="1701"/>
        <w:tab w:val="right" w:leader="dot" w:pos="9016"/>
        <w:tab w:val="right" w:leader="dot" w:pos="9060"/>
      </w:tabs>
      <w:ind w:left="851"/>
    </w:pPr>
    <w:rPr>
      <w:rFonts w:eastAsia="Calibri" w:cs="Times New Roman"/>
    </w:rPr>
  </w:style>
  <w:style w:type="paragraph" w:styleId="TOC5">
    <w:name w:val="toc 5"/>
    <w:basedOn w:val="Normal"/>
    <w:next w:val="Normal"/>
    <w:uiPriority w:val="39"/>
    <w:unhideWhenUsed/>
    <w:rsid w:val="00C30033"/>
    <w:pPr>
      <w:tabs>
        <w:tab w:val="left" w:pos="2127"/>
        <w:tab w:val="right" w:leader="dot" w:pos="9016"/>
        <w:tab w:val="right" w:leader="dot" w:pos="9060"/>
      </w:tabs>
      <w:ind w:left="1134"/>
    </w:pPr>
    <w:rPr>
      <w:rFonts w:eastAsia="Calibri" w:cs="Times New Roman"/>
    </w:rPr>
  </w:style>
  <w:style w:type="paragraph" w:styleId="TOC6">
    <w:name w:val="toc 6"/>
    <w:basedOn w:val="Normal"/>
    <w:next w:val="Normal"/>
    <w:uiPriority w:val="39"/>
    <w:unhideWhenUsed/>
    <w:rsid w:val="00C30033"/>
    <w:pPr>
      <w:spacing w:before="120" w:after="100" w:line="240" w:lineRule="auto"/>
      <w:ind w:left="1000"/>
      <w:jc w:val="both"/>
    </w:pPr>
    <w:rPr>
      <w:rFonts w:eastAsia="Times New Roman" w:cs="Times New Roman"/>
      <w:lang w:eastAsia="en-GB"/>
    </w:rPr>
  </w:style>
  <w:style w:type="paragraph" w:styleId="TOC7">
    <w:name w:val="toc 7"/>
    <w:basedOn w:val="Normal"/>
    <w:next w:val="Normal"/>
    <w:uiPriority w:val="39"/>
    <w:unhideWhenUsed/>
    <w:rsid w:val="00C30033"/>
    <w:pPr>
      <w:spacing w:before="120" w:after="100" w:line="240" w:lineRule="auto"/>
      <w:ind w:left="1200"/>
      <w:jc w:val="both"/>
    </w:pPr>
    <w:rPr>
      <w:rFonts w:eastAsia="Times New Roman" w:cs="Times New Roman"/>
      <w:sz w:val="20"/>
      <w:lang w:eastAsia="en-GB"/>
    </w:rPr>
  </w:style>
  <w:style w:type="paragraph" w:styleId="TOC8">
    <w:name w:val="toc 8"/>
    <w:basedOn w:val="Normal"/>
    <w:next w:val="Normal"/>
    <w:uiPriority w:val="39"/>
    <w:unhideWhenUsed/>
    <w:rsid w:val="00C30033"/>
    <w:pPr>
      <w:spacing w:before="120" w:after="100" w:line="240" w:lineRule="auto"/>
      <w:ind w:left="1400"/>
      <w:jc w:val="both"/>
    </w:pPr>
    <w:rPr>
      <w:rFonts w:eastAsia="Times New Roman" w:cs="Times New Roman"/>
      <w:sz w:val="20"/>
      <w:lang w:eastAsia="en-GB"/>
    </w:rPr>
  </w:style>
  <w:style w:type="paragraph" w:styleId="TOC9">
    <w:name w:val="toc 9"/>
    <w:basedOn w:val="Normal"/>
    <w:next w:val="Normal"/>
    <w:uiPriority w:val="39"/>
    <w:unhideWhenUsed/>
    <w:rsid w:val="00C30033"/>
    <w:pPr>
      <w:spacing w:before="120" w:after="100" w:line="240" w:lineRule="auto"/>
      <w:ind w:left="1600"/>
      <w:jc w:val="both"/>
    </w:pPr>
    <w:rPr>
      <w:rFonts w:eastAsia="Times New Roman" w:cs="Times New Roman"/>
      <w:sz w:val="20"/>
      <w:lang w:eastAsia="en-GB"/>
    </w:rPr>
  </w:style>
  <w:style w:type="paragraph" w:styleId="TOCHeading">
    <w:name w:val="TOC Heading"/>
    <w:basedOn w:val="JRCLevel-1Fronttitle"/>
    <w:next w:val="JRCText"/>
    <w:uiPriority w:val="39"/>
    <w:qFormat/>
    <w:rsid w:val="00C30033"/>
    <w:pPr>
      <w:spacing w:before="240" w:after="0"/>
      <w:outlineLvl w:val="9"/>
    </w:pPr>
    <w:rPr>
      <w:sz w:val="32"/>
      <w:szCs w:val="32"/>
    </w:rPr>
  </w:style>
  <w:style w:type="character" w:styleId="BookTitle">
    <w:name w:val="Book Title"/>
    <w:basedOn w:val="DefaultParagraphFont"/>
    <w:uiPriority w:val="33"/>
    <w:qFormat/>
    <w:rsid w:val="00C30033"/>
    <w:rPr>
      <w:b/>
      <w:bCs/>
      <w:i/>
      <w:iCs/>
      <w:noProof w:val="0"/>
      <w:spacing w:val="5"/>
      <w:lang w:val="en-GB"/>
    </w:rPr>
  </w:style>
  <w:style w:type="character" w:styleId="Emphasis">
    <w:name w:val="Emphasis"/>
    <w:uiPriority w:val="20"/>
    <w:qFormat/>
    <w:rsid w:val="00C30033"/>
    <w:rPr>
      <w:i/>
      <w:iCs/>
      <w:noProof w:val="0"/>
      <w:lang w:val="en-GB"/>
    </w:rPr>
  </w:style>
  <w:style w:type="character" w:styleId="SubtleReference">
    <w:name w:val="Subtle Reference"/>
    <w:basedOn w:val="DefaultParagraphFont"/>
    <w:uiPriority w:val="31"/>
    <w:qFormat/>
    <w:rsid w:val="00C30033"/>
    <w:rPr>
      <w:smallCaps/>
      <w:noProof w:val="0"/>
      <w:color w:val="000000" w:themeColor="text1"/>
      <w:lang w:val="en-GB"/>
    </w:rPr>
  </w:style>
  <w:style w:type="character" w:styleId="SubtleEmphasis">
    <w:name w:val="Subtle Emphasis"/>
    <w:aliases w:val="Italic"/>
    <w:basedOn w:val="DefaultParagraphFont"/>
    <w:uiPriority w:val="19"/>
    <w:qFormat/>
    <w:rsid w:val="00C30033"/>
    <w:rPr>
      <w:i/>
      <w:iCs/>
      <w:noProof w:val="0"/>
      <w:color w:val="404040" w:themeColor="text1" w:themeTint="BF"/>
      <w:lang w:val="en-GB"/>
    </w:rPr>
  </w:style>
  <w:style w:type="paragraph" w:customStyle="1" w:styleId="JRCText">
    <w:name w:val="JRC_Text"/>
    <w:basedOn w:val="Normal"/>
    <w:qFormat/>
    <w:rsid w:val="00C30033"/>
  </w:style>
  <w:style w:type="paragraph" w:customStyle="1" w:styleId="JRCLevel-1title">
    <w:name w:val="JRC_Level-1_title"/>
    <w:basedOn w:val="Heading1"/>
    <w:next w:val="JRCText"/>
    <w:qFormat/>
    <w:rsid w:val="00C30033"/>
    <w:pPr>
      <w:numPr>
        <w:numId w:val="25"/>
      </w:numPr>
      <w:ind w:left="432"/>
    </w:pPr>
  </w:style>
  <w:style w:type="paragraph" w:customStyle="1" w:styleId="JRCLevel-2title">
    <w:name w:val="JRC_Level-2_title"/>
    <w:basedOn w:val="Heading2"/>
    <w:next w:val="JRCText"/>
    <w:qFormat/>
    <w:rsid w:val="00C30033"/>
    <w:pPr>
      <w:numPr>
        <w:ilvl w:val="1"/>
        <w:numId w:val="25"/>
      </w:numPr>
    </w:pPr>
  </w:style>
  <w:style w:type="paragraph" w:customStyle="1" w:styleId="JRCLevel-3title">
    <w:name w:val="JRC_Level-3_title"/>
    <w:basedOn w:val="Heading3"/>
    <w:next w:val="JRCText"/>
    <w:qFormat/>
    <w:rsid w:val="00C30033"/>
    <w:pPr>
      <w:numPr>
        <w:ilvl w:val="2"/>
        <w:numId w:val="25"/>
      </w:numPr>
      <w:ind w:left="0" w:firstLine="0"/>
    </w:pPr>
  </w:style>
  <w:style w:type="paragraph" w:customStyle="1" w:styleId="JRCLevel-4title">
    <w:name w:val="JRC_Level-4_title"/>
    <w:basedOn w:val="Heading4"/>
    <w:next w:val="JRCText"/>
    <w:qFormat/>
    <w:rsid w:val="00C30033"/>
    <w:pPr>
      <w:numPr>
        <w:ilvl w:val="3"/>
        <w:numId w:val="25"/>
      </w:numPr>
      <w:ind w:left="0" w:firstLine="0"/>
    </w:pPr>
  </w:style>
  <w:style w:type="paragraph" w:customStyle="1" w:styleId="JRCLevel-5title">
    <w:name w:val="JRC_Level-5_title"/>
    <w:basedOn w:val="Heading5"/>
    <w:next w:val="JRCText"/>
    <w:qFormat/>
    <w:rsid w:val="00C30033"/>
    <w:pPr>
      <w:numPr>
        <w:ilvl w:val="4"/>
        <w:numId w:val="25"/>
      </w:numPr>
      <w:ind w:left="0" w:firstLine="0"/>
    </w:pPr>
  </w:style>
  <w:style w:type="character" w:styleId="Strong">
    <w:name w:val="Strong"/>
    <w:aliases w:val="Bold"/>
    <w:uiPriority w:val="22"/>
    <w:qFormat/>
    <w:rsid w:val="00C30033"/>
    <w:rPr>
      <w:b/>
      <w:bCs/>
      <w:noProof w:val="0"/>
      <w:lang w:val="en-GB"/>
    </w:rPr>
  </w:style>
  <w:style w:type="paragraph" w:customStyle="1" w:styleId="JRCTextbulletedlist1">
    <w:name w:val="JRC_Text_bulleted_list1"/>
    <w:basedOn w:val="Normal"/>
    <w:qFormat/>
    <w:rsid w:val="00C30033"/>
    <w:pPr>
      <w:keepLines/>
      <w:numPr>
        <w:numId w:val="16"/>
      </w:numPr>
      <w:ind w:left="0" w:firstLine="0"/>
    </w:pPr>
    <w:rPr>
      <w:rFonts w:eastAsia="Times New Roman" w:cs="Times New Roman"/>
      <w:lang w:eastAsia="en-GB"/>
    </w:rPr>
  </w:style>
  <w:style w:type="paragraph" w:customStyle="1" w:styleId="JRCTextbulletedlist2">
    <w:name w:val="JRC_Text_bulleted_list2"/>
    <w:basedOn w:val="Normal"/>
    <w:qFormat/>
    <w:rsid w:val="00C30033"/>
    <w:pPr>
      <w:keepLines/>
      <w:numPr>
        <w:ilvl w:val="1"/>
        <w:numId w:val="16"/>
      </w:numPr>
      <w:ind w:left="0" w:firstLine="0"/>
    </w:pPr>
    <w:rPr>
      <w:rFonts w:eastAsia="Times New Roman" w:cs="Times New Roman"/>
      <w:lang w:eastAsia="en-GB"/>
    </w:rPr>
  </w:style>
  <w:style w:type="paragraph" w:customStyle="1" w:styleId="JRCTextnumberedlist1">
    <w:name w:val="JRC_Text_numbered_list1"/>
    <w:basedOn w:val="Normal"/>
    <w:qFormat/>
    <w:rsid w:val="00C30033"/>
    <w:pPr>
      <w:keepLines/>
      <w:numPr>
        <w:numId w:val="13"/>
      </w:numPr>
      <w:ind w:left="0" w:firstLine="0"/>
    </w:pPr>
    <w:rPr>
      <w:rFonts w:eastAsia="Times New Roman" w:cs="Times New Roman"/>
      <w:lang w:eastAsia="en-GB"/>
    </w:rPr>
  </w:style>
  <w:style w:type="paragraph" w:customStyle="1" w:styleId="JRCTextnumberedlist2">
    <w:name w:val="JRC_Text_numbered_list2"/>
    <w:basedOn w:val="Normal"/>
    <w:qFormat/>
    <w:rsid w:val="00C30033"/>
    <w:pPr>
      <w:keepLines/>
      <w:numPr>
        <w:ilvl w:val="1"/>
        <w:numId w:val="13"/>
      </w:numPr>
      <w:ind w:left="0" w:firstLine="0"/>
    </w:pPr>
    <w:rPr>
      <w:rFonts w:eastAsia="Times New Roman" w:cs="Times New Roman"/>
      <w:lang w:eastAsia="en-GB"/>
    </w:rPr>
  </w:style>
  <w:style w:type="numbering" w:customStyle="1" w:styleId="JRCTextbulletedlist">
    <w:name w:val="JRC_Text_bulleted_list"/>
    <w:uiPriority w:val="99"/>
    <w:rsid w:val="00C30033"/>
    <w:pPr>
      <w:numPr>
        <w:numId w:val="11"/>
      </w:numPr>
    </w:pPr>
  </w:style>
  <w:style w:type="numbering" w:customStyle="1" w:styleId="JRCLeveledHeadingslist">
    <w:name w:val="JRC_Leveled_Headings_list"/>
    <w:uiPriority w:val="99"/>
    <w:rsid w:val="00C30033"/>
    <w:pPr>
      <w:numPr>
        <w:numId w:val="12"/>
      </w:numPr>
    </w:pPr>
  </w:style>
  <w:style w:type="numbering" w:customStyle="1" w:styleId="JRCTextnumberedlist">
    <w:name w:val="JRC_Text_numbered_list"/>
    <w:uiPriority w:val="99"/>
    <w:rsid w:val="00C30033"/>
    <w:pPr>
      <w:numPr>
        <w:numId w:val="13"/>
      </w:numPr>
    </w:pPr>
  </w:style>
  <w:style w:type="character" w:styleId="CommentReference">
    <w:name w:val="annotation reference"/>
    <w:basedOn w:val="DefaultParagraphFont"/>
    <w:uiPriority w:val="99"/>
    <w:semiHidden/>
    <w:unhideWhenUsed/>
    <w:rsid w:val="00C30033"/>
    <w:rPr>
      <w:noProof w:val="0"/>
      <w:sz w:val="16"/>
      <w:szCs w:val="16"/>
      <w:lang w:val="en-GB"/>
    </w:rPr>
  </w:style>
  <w:style w:type="character" w:styleId="EndnoteReference">
    <w:name w:val="endnote reference"/>
    <w:basedOn w:val="DefaultParagraphFont"/>
    <w:uiPriority w:val="99"/>
    <w:semiHidden/>
    <w:unhideWhenUsed/>
    <w:rsid w:val="00C30033"/>
    <w:rPr>
      <w:noProof w:val="0"/>
      <w:vertAlign w:val="superscript"/>
      <w:lang w:val="en-GB"/>
    </w:rPr>
  </w:style>
  <w:style w:type="character" w:styleId="FollowedHyperlink">
    <w:name w:val="FollowedHyperlink"/>
    <w:basedOn w:val="DefaultParagraphFont"/>
    <w:uiPriority w:val="99"/>
    <w:semiHidden/>
    <w:unhideWhenUsed/>
    <w:rsid w:val="00C30033"/>
    <w:rPr>
      <w:noProof w:val="0"/>
      <w:color w:val="96607D" w:themeColor="followedHyperlink"/>
      <w:u w:val="single"/>
      <w:lang w:val="en-GB"/>
    </w:rPr>
  </w:style>
  <w:style w:type="character" w:styleId="FootnoteReference">
    <w:name w:val="footnote reference"/>
    <w:uiPriority w:val="99"/>
    <w:unhideWhenUsed/>
    <w:rsid w:val="00C30033"/>
    <w:rPr>
      <w:noProof w:val="0"/>
      <w:vertAlign w:val="superscript"/>
      <w:lang w:val="en-GB"/>
    </w:rPr>
  </w:style>
  <w:style w:type="character" w:customStyle="1" w:styleId="Hashtag1">
    <w:name w:val="Hashtag1"/>
    <w:basedOn w:val="DefaultParagraphFont"/>
    <w:uiPriority w:val="99"/>
    <w:semiHidden/>
    <w:unhideWhenUsed/>
    <w:locked/>
    <w:rsid w:val="00C30033"/>
    <w:rPr>
      <w:noProof w:val="0"/>
      <w:color w:val="2B579A"/>
      <w:shd w:val="clear" w:color="auto" w:fill="E1DFDD"/>
      <w:lang w:val="en-GB"/>
    </w:rPr>
  </w:style>
  <w:style w:type="character" w:styleId="HTMLAcronym">
    <w:name w:val="HTML Acronym"/>
    <w:basedOn w:val="DefaultParagraphFont"/>
    <w:uiPriority w:val="99"/>
    <w:semiHidden/>
    <w:unhideWhenUsed/>
    <w:rsid w:val="00C30033"/>
    <w:rPr>
      <w:noProof w:val="0"/>
      <w:lang w:val="en-GB"/>
    </w:rPr>
  </w:style>
  <w:style w:type="character" w:styleId="HTMLCite">
    <w:name w:val="HTML Cite"/>
    <w:basedOn w:val="DefaultParagraphFont"/>
    <w:uiPriority w:val="99"/>
    <w:semiHidden/>
    <w:unhideWhenUsed/>
    <w:rsid w:val="00C30033"/>
    <w:rPr>
      <w:i/>
      <w:iCs/>
      <w:noProof w:val="0"/>
      <w:lang w:val="en-GB"/>
    </w:rPr>
  </w:style>
  <w:style w:type="character" w:styleId="HTMLCode">
    <w:name w:val="HTML Code"/>
    <w:basedOn w:val="DefaultParagraphFont"/>
    <w:uiPriority w:val="99"/>
    <w:semiHidden/>
    <w:unhideWhenUsed/>
    <w:rsid w:val="00C30033"/>
    <w:rPr>
      <w:rFonts w:ascii="Consolas" w:hAnsi="Consolas"/>
      <w:noProof w:val="0"/>
      <w:sz w:val="20"/>
      <w:szCs w:val="20"/>
      <w:lang w:val="en-GB"/>
    </w:rPr>
  </w:style>
  <w:style w:type="character" w:styleId="HTMLDefinition">
    <w:name w:val="HTML Definition"/>
    <w:basedOn w:val="DefaultParagraphFont"/>
    <w:uiPriority w:val="99"/>
    <w:semiHidden/>
    <w:unhideWhenUsed/>
    <w:rsid w:val="00C30033"/>
    <w:rPr>
      <w:i/>
      <w:iCs/>
      <w:noProof w:val="0"/>
      <w:lang w:val="en-GB"/>
    </w:rPr>
  </w:style>
  <w:style w:type="character" w:styleId="HTMLKeyboard">
    <w:name w:val="HTML Keyboard"/>
    <w:basedOn w:val="DefaultParagraphFont"/>
    <w:uiPriority w:val="99"/>
    <w:semiHidden/>
    <w:unhideWhenUsed/>
    <w:rsid w:val="00C30033"/>
    <w:rPr>
      <w:rFonts w:ascii="Consolas" w:hAnsi="Consolas"/>
      <w:noProof w:val="0"/>
      <w:sz w:val="20"/>
      <w:szCs w:val="20"/>
      <w:lang w:val="en-GB"/>
    </w:rPr>
  </w:style>
  <w:style w:type="character" w:styleId="HTMLSample">
    <w:name w:val="HTML Sample"/>
    <w:basedOn w:val="DefaultParagraphFont"/>
    <w:uiPriority w:val="99"/>
    <w:semiHidden/>
    <w:unhideWhenUsed/>
    <w:rsid w:val="00C30033"/>
    <w:rPr>
      <w:rFonts w:ascii="Consolas" w:hAnsi="Consolas"/>
      <w:noProof w:val="0"/>
      <w:sz w:val="24"/>
      <w:szCs w:val="24"/>
      <w:lang w:val="en-GB"/>
    </w:rPr>
  </w:style>
  <w:style w:type="character" w:styleId="HTMLTypewriter">
    <w:name w:val="HTML Typewriter"/>
    <w:basedOn w:val="DefaultParagraphFont"/>
    <w:uiPriority w:val="99"/>
    <w:semiHidden/>
    <w:unhideWhenUsed/>
    <w:rsid w:val="00C30033"/>
    <w:rPr>
      <w:rFonts w:ascii="Consolas" w:hAnsi="Consolas"/>
      <w:noProof w:val="0"/>
      <w:sz w:val="20"/>
      <w:szCs w:val="20"/>
      <w:lang w:val="en-GB"/>
    </w:rPr>
  </w:style>
  <w:style w:type="character" w:styleId="HTMLVariable">
    <w:name w:val="HTML Variable"/>
    <w:basedOn w:val="DefaultParagraphFont"/>
    <w:uiPriority w:val="99"/>
    <w:semiHidden/>
    <w:unhideWhenUsed/>
    <w:rsid w:val="00C30033"/>
    <w:rPr>
      <w:i/>
      <w:iCs/>
      <w:noProof w:val="0"/>
      <w:lang w:val="en-GB"/>
    </w:rPr>
  </w:style>
  <w:style w:type="character" w:styleId="Hyperlink">
    <w:name w:val="Hyperlink"/>
    <w:basedOn w:val="DefaultParagraphFont"/>
    <w:uiPriority w:val="99"/>
    <w:unhideWhenUsed/>
    <w:rsid w:val="00C30033"/>
    <w:rPr>
      <w:noProof w:val="0"/>
      <w:color w:val="007B87"/>
      <w:u w:val="single"/>
      <w:lang w:val="en-GB"/>
    </w:rPr>
  </w:style>
  <w:style w:type="character" w:styleId="LineNumber">
    <w:name w:val="line number"/>
    <w:basedOn w:val="DefaultParagraphFont"/>
    <w:uiPriority w:val="99"/>
    <w:semiHidden/>
    <w:unhideWhenUsed/>
    <w:rsid w:val="00C30033"/>
    <w:rPr>
      <w:noProof w:val="0"/>
      <w:lang w:val="en-GB"/>
    </w:rPr>
  </w:style>
  <w:style w:type="character" w:customStyle="1" w:styleId="Mention1">
    <w:name w:val="Mention1"/>
    <w:basedOn w:val="DefaultParagraphFont"/>
    <w:uiPriority w:val="99"/>
    <w:semiHidden/>
    <w:unhideWhenUsed/>
    <w:rsid w:val="00C30033"/>
    <w:rPr>
      <w:noProof w:val="0"/>
      <w:color w:val="2B579A"/>
      <w:shd w:val="clear" w:color="auto" w:fill="E1DFDD"/>
      <w:lang w:val="en-GB"/>
    </w:rPr>
  </w:style>
  <w:style w:type="character" w:styleId="PageNumber">
    <w:name w:val="page number"/>
    <w:basedOn w:val="DefaultParagraphFont"/>
    <w:uiPriority w:val="99"/>
    <w:semiHidden/>
    <w:unhideWhenUsed/>
    <w:rsid w:val="00C30033"/>
    <w:rPr>
      <w:noProof w:val="0"/>
      <w:lang w:val="en-GB"/>
    </w:rPr>
  </w:style>
  <w:style w:type="character" w:styleId="PlaceholderText">
    <w:name w:val="Placeholder Text"/>
    <w:basedOn w:val="DefaultParagraphFont"/>
    <w:uiPriority w:val="99"/>
    <w:semiHidden/>
    <w:rsid w:val="00C30033"/>
    <w:rPr>
      <w:noProof w:val="0"/>
      <w:color w:val="808080"/>
      <w:lang w:val="en-GB"/>
    </w:rPr>
  </w:style>
  <w:style w:type="character" w:customStyle="1" w:styleId="SmartHyperlink1">
    <w:name w:val="Smart Hyperlink1"/>
    <w:basedOn w:val="DefaultParagraphFont"/>
    <w:uiPriority w:val="99"/>
    <w:semiHidden/>
    <w:unhideWhenUsed/>
    <w:rsid w:val="00C30033"/>
    <w:rPr>
      <w:noProof w:val="0"/>
      <w:u w:val="dotted"/>
      <w:lang w:val="en-GB"/>
    </w:rPr>
  </w:style>
  <w:style w:type="character" w:customStyle="1" w:styleId="SmartLink1">
    <w:name w:val="SmartLink1"/>
    <w:basedOn w:val="DefaultParagraphFont"/>
    <w:uiPriority w:val="99"/>
    <w:semiHidden/>
    <w:unhideWhenUsed/>
    <w:rsid w:val="00C30033"/>
    <w:rPr>
      <w:noProof w:val="0"/>
      <w:color w:val="0000FF"/>
      <w:u w:val="single"/>
      <w:shd w:val="clear" w:color="auto" w:fill="F3F2F1"/>
      <w:lang w:val="en-GB"/>
    </w:rPr>
  </w:style>
  <w:style w:type="character" w:customStyle="1" w:styleId="UnresolvedMention1">
    <w:name w:val="Unresolved Mention1"/>
    <w:basedOn w:val="DefaultParagraphFont"/>
    <w:uiPriority w:val="99"/>
    <w:semiHidden/>
    <w:unhideWhenUsed/>
    <w:rsid w:val="00C30033"/>
    <w:rPr>
      <w:noProof w:val="0"/>
      <w:color w:val="605E5C"/>
      <w:shd w:val="clear" w:color="auto" w:fill="E1DFDD"/>
      <w:lang w:val="en-GB"/>
    </w:rPr>
  </w:style>
  <w:style w:type="paragraph" w:customStyle="1" w:styleId="JRCTabletitle">
    <w:name w:val="JRC_Table_title"/>
    <w:basedOn w:val="Normal"/>
    <w:qFormat/>
    <w:rsid w:val="00C30033"/>
    <w:pPr>
      <w:keepNext/>
      <w:keepLines/>
      <w:spacing w:before="240"/>
    </w:pPr>
    <w:rPr>
      <w:rFonts w:eastAsia="Calibri" w:cs="Times New Roman"/>
      <w:sz w:val="20"/>
    </w:rPr>
  </w:style>
  <w:style w:type="table" w:styleId="TableGrid">
    <w:name w:val="Table Grid"/>
    <w:basedOn w:val="TableNormal"/>
    <w:uiPriority w:val="39"/>
    <w:rsid w:val="00C30033"/>
    <w:pPr>
      <w:spacing w:after="0" w:line="240" w:lineRule="auto"/>
    </w:pPr>
    <w:rPr>
      <w:kern w:val="0"/>
      <w:sz w:val="22"/>
      <w:szCs w:val="22"/>
      <w:lang w:val="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JRCTableBasic">
    <w:name w:val="JRC_Table_Basic"/>
    <w:basedOn w:val="TableNormal"/>
    <w:uiPriority w:val="99"/>
    <w:rsid w:val="00C30033"/>
    <w:pPr>
      <w:spacing w:before="80" w:after="80" w:line="264" w:lineRule="auto"/>
    </w:pPr>
    <w:rPr>
      <w:kern w:val="0"/>
      <w:sz w:val="20"/>
      <w:szCs w:val="22"/>
      <w:lang w:val="en-GB"/>
      <w14:ligatures w14:val="none"/>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jc w:val="center"/>
    </w:trPr>
    <w:tblStylePr w:type="firstRow">
      <w:rPr>
        <w:b/>
      </w:rPr>
    </w:tblStylePr>
    <w:tblStylePr w:type="firstCol">
      <w:rPr>
        <w:b/>
      </w:rPr>
    </w:tblStylePr>
  </w:style>
  <w:style w:type="paragraph" w:customStyle="1" w:styleId="JRCTablenote">
    <w:name w:val="JRC_Table_note"/>
    <w:basedOn w:val="Normal"/>
    <w:qFormat/>
    <w:rsid w:val="00C30033"/>
    <w:pPr>
      <w:keepLines/>
      <w:spacing w:before="80"/>
      <w:ind w:left="357" w:hanging="357"/>
      <w:contextualSpacing/>
    </w:pPr>
    <w:rPr>
      <w:rFonts w:eastAsia="Times New Roman" w:cs="Times New Roman"/>
      <w:sz w:val="18"/>
      <w:lang w:eastAsia="en-GB"/>
    </w:rPr>
  </w:style>
  <w:style w:type="paragraph" w:customStyle="1" w:styleId="JRCTablesource">
    <w:name w:val="JRC_Table_source"/>
    <w:basedOn w:val="Normal"/>
    <w:next w:val="JRCText"/>
    <w:qFormat/>
    <w:rsid w:val="00C30033"/>
    <w:pPr>
      <w:keepLines/>
      <w:spacing w:before="80"/>
      <w:contextualSpacing/>
    </w:pPr>
    <w:rPr>
      <w:rFonts w:eastAsia="Times New Roman" w:cs="Times New Roman"/>
      <w:i/>
      <w:sz w:val="18"/>
      <w:lang w:eastAsia="en-GB"/>
    </w:rPr>
  </w:style>
  <w:style w:type="paragraph" w:customStyle="1" w:styleId="JRCEquation">
    <w:name w:val="JRC_Equation"/>
    <w:basedOn w:val="Normal"/>
    <w:next w:val="JRCText"/>
    <w:semiHidden/>
    <w:unhideWhenUsed/>
    <w:qFormat/>
    <w:rsid w:val="00C30033"/>
    <w:pPr>
      <w:spacing w:before="360" w:after="360"/>
      <w:jc w:val="center"/>
    </w:pPr>
    <w:rPr>
      <w:rFonts w:eastAsia="Calibri" w:cs="Times New Roman"/>
    </w:rPr>
  </w:style>
  <w:style w:type="paragraph" w:customStyle="1" w:styleId="JRCFigurecaption">
    <w:name w:val="JRC_Figure_caption"/>
    <w:basedOn w:val="Normal"/>
    <w:next w:val="JRCText"/>
    <w:qFormat/>
    <w:rsid w:val="00C30033"/>
    <w:pPr>
      <w:keepNext/>
      <w:keepLines/>
      <w:spacing w:before="360"/>
      <w:jc w:val="center"/>
    </w:pPr>
    <w:rPr>
      <w:rFonts w:eastAsia="Calibri" w:cs="Times New Roman"/>
      <w:sz w:val="20"/>
    </w:rPr>
  </w:style>
  <w:style w:type="paragraph" w:customStyle="1" w:styleId="JRCFiguresource">
    <w:name w:val="JRC_Figure_source"/>
    <w:basedOn w:val="Normal"/>
    <w:next w:val="JRCText"/>
    <w:qFormat/>
    <w:rsid w:val="00C30033"/>
    <w:pPr>
      <w:keepLines/>
      <w:spacing w:before="40" w:after="360"/>
      <w:jc w:val="center"/>
    </w:pPr>
    <w:rPr>
      <w:rFonts w:eastAsia="Times New Roman" w:cs="Times New Roman"/>
      <w:i/>
      <w:sz w:val="18"/>
      <w:lang w:eastAsia="en-GB"/>
    </w:rPr>
  </w:style>
  <w:style w:type="paragraph" w:customStyle="1" w:styleId="JRCEquationtitle">
    <w:name w:val="JRC_Equation_title"/>
    <w:basedOn w:val="Normal"/>
    <w:next w:val="JRCText"/>
    <w:qFormat/>
    <w:rsid w:val="00C30033"/>
    <w:pPr>
      <w:keepLines/>
      <w:spacing w:before="80"/>
      <w:ind w:left="357" w:hanging="357"/>
      <w:contextualSpacing/>
      <w:jc w:val="center"/>
    </w:pPr>
    <w:rPr>
      <w:rFonts w:eastAsia="Times New Roman" w:cs="Times New Roman"/>
      <w:sz w:val="18"/>
      <w:lang w:eastAsia="en-GB"/>
    </w:rPr>
  </w:style>
  <w:style w:type="paragraph" w:customStyle="1" w:styleId="JRCEquationimageplaceholder">
    <w:name w:val="JRC_Equation_image_placeholder"/>
    <w:basedOn w:val="Normal"/>
    <w:next w:val="JRCEquationtitle"/>
    <w:qFormat/>
    <w:rsid w:val="00C30033"/>
    <w:pPr>
      <w:spacing w:line="240" w:lineRule="auto"/>
      <w:jc w:val="center"/>
    </w:pPr>
    <w:rPr>
      <w:rFonts w:ascii="EC Square Sans Pro" w:eastAsia="Calibri" w:hAnsi="EC Square Sans Pro" w:cs="Times New Roman"/>
      <w:sz w:val="20"/>
    </w:rPr>
  </w:style>
  <w:style w:type="paragraph" w:customStyle="1" w:styleId="JRCBoxbulletlist1">
    <w:name w:val="JRC_Box_bullet_list1"/>
    <w:basedOn w:val="Normal"/>
    <w:qFormat/>
    <w:rsid w:val="00C30033"/>
    <w:pPr>
      <w:numPr>
        <w:numId w:val="15"/>
      </w:numPr>
      <w:pBdr>
        <w:top w:val="single" w:sz="4" w:space="4" w:color="595959" w:themeColor="text1" w:themeTint="A6"/>
        <w:left w:val="single" w:sz="4" w:space="4" w:color="595959" w:themeColor="text1" w:themeTint="A6"/>
        <w:bottom w:val="single" w:sz="4" w:space="4" w:color="595959" w:themeColor="text1" w:themeTint="A6"/>
        <w:right w:val="single" w:sz="4" w:space="4" w:color="595959" w:themeColor="text1" w:themeTint="A6"/>
      </w:pBdr>
      <w:shd w:val="clear" w:color="auto" w:fill="F2F2F2" w:themeFill="background1" w:themeFillShade="F2"/>
      <w:ind w:left="0" w:right="108" w:firstLine="0"/>
    </w:pPr>
    <w:rPr>
      <w:rFonts w:ascii="EC Square Sans Pro" w:eastAsia="Times New Roman" w:hAnsi="EC Square Sans Pro" w:cs="Times New Roman"/>
      <w:sz w:val="20"/>
      <w:lang w:eastAsia="en-GB"/>
    </w:rPr>
  </w:style>
  <w:style w:type="paragraph" w:customStyle="1" w:styleId="JRCBoxtitle">
    <w:name w:val="JRC_Box_title"/>
    <w:basedOn w:val="Normal"/>
    <w:qFormat/>
    <w:rsid w:val="00C30033"/>
    <w:pPr>
      <w:keepNext/>
      <w:pBdr>
        <w:top w:val="single" w:sz="4" w:space="4" w:color="595959" w:themeColor="text1" w:themeTint="A6"/>
        <w:left w:val="single" w:sz="4" w:space="4" w:color="595959" w:themeColor="text1" w:themeTint="A6"/>
        <w:bottom w:val="single" w:sz="4" w:space="4" w:color="595959" w:themeColor="text1" w:themeTint="A6"/>
        <w:right w:val="single" w:sz="4" w:space="4" w:color="595959" w:themeColor="text1" w:themeTint="A6"/>
      </w:pBdr>
      <w:shd w:val="clear" w:color="auto" w:fill="F2F2F2" w:themeFill="background1" w:themeFillShade="F2"/>
      <w:spacing w:before="240"/>
      <w:ind w:left="108" w:right="108"/>
    </w:pPr>
    <w:rPr>
      <w:rFonts w:ascii="EC Square Sans Pro" w:eastAsia="Times New Roman" w:hAnsi="EC Square Sans Pro" w:cs="Times New Roman"/>
      <w:sz w:val="20"/>
      <w:lang w:eastAsia="en-GB"/>
    </w:rPr>
  </w:style>
  <w:style w:type="table" w:customStyle="1" w:styleId="JRCTableBox">
    <w:name w:val="JRC_Table_Box"/>
    <w:basedOn w:val="TableNormal"/>
    <w:uiPriority w:val="99"/>
    <w:rsid w:val="00C30033"/>
    <w:pPr>
      <w:spacing w:before="160" w:line="264" w:lineRule="auto"/>
    </w:pPr>
    <w:rPr>
      <w:kern w:val="0"/>
      <w:sz w:val="22"/>
      <w:szCs w:val="22"/>
      <w:lang w:val="en-GB"/>
      <w14:ligatures w14:val="none"/>
    </w:rPr>
    <w:tblPr>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tblBorders>
    </w:tblPr>
    <w:tcPr>
      <w:shd w:val="clear" w:color="auto" w:fill="F2F2F2" w:themeFill="background1" w:themeFillShade="F2"/>
    </w:tcPr>
  </w:style>
  <w:style w:type="numbering" w:customStyle="1" w:styleId="JRCBoxbulletlist">
    <w:name w:val="JRC_Box_bullet_list"/>
    <w:uiPriority w:val="99"/>
    <w:rsid w:val="00C30033"/>
    <w:pPr>
      <w:numPr>
        <w:numId w:val="14"/>
      </w:numPr>
    </w:pPr>
  </w:style>
  <w:style w:type="paragraph" w:customStyle="1" w:styleId="JRCBoxtitletablebox">
    <w:name w:val="JRC_Box_title (table box)"/>
    <w:basedOn w:val="JRCText"/>
    <w:qFormat/>
    <w:rsid w:val="00C30033"/>
    <w:rPr>
      <w:sz w:val="20"/>
    </w:rPr>
  </w:style>
  <w:style w:type="paragraph" w:customStyle="1" w:styleId="JRCLevel-1Backtitle">
    <w:name w:val="JRC_Level-1_Back_title"/>
    <w:basedOn w:val="Heading1"/>
    <w:next w:val="JRCText"/>
    <w:qFormat/>
    <w:rsid w:val="00C30033"/>
  </w:style>
  <w:style w:type="numbering" w:customStyle="1" w:styleId="JRCCovercopyrightsList">
    <w:name w:val="JRC_Cover_copyrights List"/>
    <w:uiPriority w:val="99"/>
    <w:rsid w:val="00C30033"/>
    <w:pPr>
      <w:numPr>
        <w:numId w:val="19"/>
      </w:numPr>
    </w:pPr>
  </w:style>
  <w:style w:type="paragraph" w:customStyle="1" w:styleId="JRCLevel-2Frontsmalltitle">
    <w:name w:val="JRC_Level-2_Front_small_title"/>
    <w:basedOn w:val="Normal"/>
    <w:next w:val="JRCText"/>
    <w:qFormat/>
    <w:rsid w:val="00C30033"/>
    <w:pPr>
      <w:keepNext/>
      <w:keepLines/>
      <w:spacing w:before="280"/>
      <w:outlineLvl w:val="1"/>
    </w:pPr>
    <w:rPr>
      <w:rFonts w:ascii="EC Square Sans Pro" w:eastAsia="Calibri" w:hAnsi="EC Square Sans Pro" w:cs="Times New Roman"/>
      <w:b/>
      <w:i/>
      <w:color w:val="007B87"/>
    </w:rPr>
  </w:style>
  <w:style w:type="paragraph" w:customStyle="1" w:styleId="JRCFigureplaceholder">
    <w:name w:val="JRC_Figure_placeholder"/>
    <w:basedOn w:val="JRCText"/>
    <w:qFormat/>
    <w:rsid w:val="00C30033"/>
    <w:pPr>
      <w:keepNext/>
      <w:keepLines/>
      <w:jc w:val="center"/>
    </w:pPr>
  </w:style>
  <w:style w:type="paragraph" w:customStyle="1" w:styleId="JRCLevel-2Backtitle">
    <w:name w:val="JRC_Level-2_Back_title"/>
    <w:basedOn w:val="Heading2"/>
    <w:next w:val="JRCText"/>
    <w:qFormat/>
    <w:rsid w:val="00C30033"/>
  </w:style>
  <w:style w:type="table" w:customStyle="1" w:styleId="JRCTableabbreviations">
    <w:name w:val="JRC_Table_abbreviations"/>
    <w:basedOn w:val="TableNormal"/>
    <w:uiPriority w:val="99"/>
    <w:rsid w:val="00C30033"/>
    <w:pPr>
      <w:keepLines/>
      <w:spacing w:before="160" w:line="264" w:lineRule="auto"/>
    </w:pPr>
    <w:rPr>
      <w:kern w:val="0"/>
      <w:sz w:val="22"/>
      <w:szCs w:val="22"/>
      <w:lang w:val="en-GB"/>
      <w14:ligatures w14:val="none"/>
    </w:rPr>
    <w:tblPr>
      <w:jc w:val="center"/>
      <w:tblCellMar>
        <w:left w:w="284" w:type="dxa"/>
        <w:right w:w="284" w:type="dxa"/>
      </w:tblCellMar>
    </w:tblPr>
    <w:trPr>
      <w:cantSplit/>
      <w:tblHeader/>
      <w:jc w:val="center"/>
    </w:trPr>
    <w:tblStylePr w:type="firstRow">
      <w:pPr>
        <w:wordWrap/>
        <w:jc w:val="left"/>
      </w:pPr>
      <w:rPr>
        <w:b/>
        <w:i w:val="0"/>
      </w:rPr>
      <w:tblPr/>
      <w:tcPr>
        <w:tcBorders>
          <w:top w:val="nil"/>
          <w:left w:val="nil"/>
          <w:bottom w:val="single" w:sz="4" w:space="0" w:color="595959" w:themeColor="text1" w:themeTint="A6"/>
          <w:right w:val="nil"/>
          <w:insideH w:val="nil"/>
          <w:insideV w:val="nil"/>
          <w:tl2br w:val="nil"/>
          <w:tr2bl w:val="nil"/>
        </w:tcBorders>
      </w:tcPr>
    </w:tblStylePr>
  </w:style>
  <w:style w:type="numbering" w:customStyle="1" w:styleId="AboutEUListList">
    <w:name w:val="AboutEU List (List)"/>
    <w:uiPriority w:val="99"/>
    <w:rsid w:val="00C30033"/>
    <w:pPr>
      <w:numPr>
        <w:numId w:val="17"/>
      </w:numPr>
    </w:pPr>
  </w:style>
  <w:style w:type="paragraph" w:customStyle="1" w:styleId="JRCLevel-1Fronttitle">
    <w:name w:val="JRC_Level-1_Front_title"/>
    <w:basedOn w:val="Normal"/>
    <w:next w:val="JRCText"/>
    <w:qFormat/>
    <w:rsid w:val="00C30033"/>
    <w:pPr>
      <w:keepNext/>
      <w:keepLines/>
      <w:pageBreakBefore/>
      <w:spacing w:before="0"/>
      <w:outlineLvl w:val="0"/>
    </w:pPr>
    <w:rPr>
      <w:rFonts w:asciiTheme="majorHAnsi" w:eastAsia="Times New Roman" w:hAnsiTheme="majorHAnsi" w:cs="Times New Roman"/>
      <w:b/>
      <w:color w:val="009AA8"/>
      <w:sz w:val="36"/>
      <w:lang w:eastAsia="en-GB"/>
    </w:rPr>
  </w:style>
  <w:style w:type="numbering" w:customStyle="1" w:styleId="JRCBackCoverlist">
    <w:name w:val="JRC_Back_Cover_list"/>
    <w:uiPriority w:val="99"/>
    <w:rsid w:val="00C30033"/>
    <w:pPr>
      <w:numPr>
        <w:numId w:val="20"/>
      </w:numPr>
    </w:pPr>
  </w:style>
  <w:style w:type="numbering" w:styleId="111111">
    <w:name w:val="Outline List 2"/>
    <w:basedOn w:val="NoList"/>
    <w:uiPriority w:val="99"/>
    <w:semiHidden/>
    <w:unhideWhenUsed/>
    <w:rsid w:val="00C30033"/>
    <w:pPr>
      <w:numPr>
        <w:numId w:val="21"/>
      </w:numPr>
    </w:pPr>
  </w:style>
  <w:style w:type="numbering" w:styleId="1ai">
    <w:name w:val="Outline List 1"/>
    <w:basedOn w:val="NoList"/>
    <w:uiPriority w:val="99"/>
    <w:semiHidden/>
    <w:unhideWhenUsed/>
    <w:rsid w:val="00C30033"/>
    <w:pPr>
      <w:numPr>
        <w:numId w:val="22"/>
      </w:numPr>
    </w:pPr>
  </w:style>
  <w:style w:type="numbering" w:styleId="ArticleSection">
    <w:name w:val="Outline List 3"/>
    <w:basedOn w:val="NoList"/>
    <w:uiPriority w:val="99"/>
    <w:semiHidden/>
    <w:unhideWhenUsed/>
    <w:rsid w:val="00C30033"/>
    <w:pPr>
      <w:numPr>
        <w:numId w:val="23"/>
      </w:numPr>
    </w:pPr>
  </w:style>
  <w:style w:type="table" w:styleId="ColorfulGrid">
    <w:name w:val="Colorful Grid"/>
    <w:basedOn w:val="TableNormal"/>
    <w:uiPriority w:val="73"/>
    <w:semiHidden/>
    <w:unhideWhenUsed/>
    <w:rsid w:val="00C30033"/>
    <w:pPr>
      <w:spacing w:after="0" w:line="240" w:lineRule="auto"/>
    </w:pPr>
    <w:rPr>
      <w:color w:val="000000" w:themeColor="text1"/>
      <w:kern w:val="0"/>
      <w:sz w:val="22"/>
      <w:szCs w:val="22"/>
      <w:lang w:val="en-GB"/>
      <w14:ligatures w14:val="none"/>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sid w:val="00C30033"/>
    <w:pPr>
      <w:spacing w:after="0" w:line="240" w:lineRule="auto"/>
    </w:pPr>
    <w:rPr>
      <w:color w:val="000000" w:themeColor="text1"/>
      <w:kern w:val="0"/>
      <w:sz w:val="22"/>
      <w:szCs w:val="22"/>
      <w:lang w:val="en-GB"/>
      <w14:ligatures w14:val="none"/>
    </w:rPr>
    <w:tblPr>
      <w:tblStyleRowBandSize w:val="1"/>
      <w:tblStyleColBandSize w:val="1"/>
      <w:tblBorders>
        <w:insideH w:val="single" w:sz="4" w:space="0" w:color="FFFFFF" w:themeColor="background1"/>
      </w:tblBorders>
    </w:tblPr>
    <w:tcPr>
      <w:shd w:val="clear" w:color="auto" w:fill="C1E4F5" w:themeFill="accent1" w:themeFillTint="33"/>
    </w:tcPr>
    <w:tblStylePr w:type="firstRow">
      <w:rPr>
        <w:b/>
        <w:bCs/>
      </w:rPr>
      <w:tblPr/>
      <w:tcPr>
        <w:shd w:val="clear" w:color="auto" w:fill="83CAEB" w:themeFill="accent1" w:themeFillTint="66"/>
      </w:tcPr>
    </w:tblStylePr>
    <w:tblStylePr w:type="lastRow">
      <w:rPr>
        <w:b/>
        <w:bCs/>
        <w:color w:val="000000" w:themeColor="text1"/>
      </w:rPr>
      <w:tblPr/>
      <w:tcPr>
        <w:shd w:val="clear" w:color="auto" w:fill="83CAEB" w:themeFill="accent1" w:themeFillTint="66"/>
      </w:tcPr>
    </w:tblStylePr>
    <w:tblStylePr w:type="firstCol">
      <w:rPr>
        <w:color w:val="FFFFFF" w:themeColor="background1"/>
      </w:rPr>
      <w:tblPr/>
      <w:tcPr>
        <w:shd w:val="clear" w:color="auto" w:fill="0F4761" w:themeFill="accent1" w:themeFillShade="BF"/>
      </w:tcPr>
    </w:tblStylePr>
    <w:tblStylePr w:type="lastCol">
      <w:rPr>
        <w:color w:val="FFFFFF" w:themeColor="background1"/>
      </w:rPr>
      <w:tblPr/>
      <w:tcPr>
        <w:shd w:val="clear" w:color="auto" w:fill="0F4761" w:themeFill="accent1" w:themeFillShade="BF"/>
      </w:tcPr>
    </w:tblStylePr>
    <w:tblStylePr w:type="band1Vert">
      <w:tblPr/>
      <w:tcPr>
        <w:shd w:val="clear" w:color="auto" w:fill="64BDE6" w:themeFill="accent1" w:themeFillTint="7F"/>
      </w:tcPr>
    </w:tblStylePr>
    <w:tblStylePr w:type="band1Horz">
      <w:tblPr/>
      <w:tcPr>
        <w:shd w:val="clear" w:color="auto" w:fill="64BDE6" w:themeFill="accent1" w:themeFillTint="7F"/>
      </w:tcPr>
    </w:tblStylePr>
  </w:style>
  <w:style w:type="table" w:styleId="ColorfulGrid-Accent2">
    <w:name w:val="Colorful Grid Accent 2"/>
    <w:basedOn w:val="TableNormal"/>
    <w:uiPriority w:val="73"/>
    <w:semiHidden/>
    <w:unhideWhenUsed/>
    <w:rsid w:val="00C30033"/>
    <w:pPr>
      <w:spacing w:after="0" w:line="240" w:lineRule="auto"/>
    </w:pPr>
    <w:rPr>
      <w:color w:val="000000" w:themeColor="text1"/>
      <w:kern w:val="0"/>
      <w:sz w:val="22"/>
      <w:szCs w:val="22"/>
      <w:lang w:val="en-GB"/>
      <w14:ligatures w14:val="none"/>
    </w:rPr>
    <w:tblPr>
      <w:tblStyleRowBandSize w:val="1"/>
      <w:tblStyleColBandSize w:val="1"/>
      <w:tblBorders>
        <w:insideH w:val="single" w:sz="4" w:space="0" w:color="FFFFFF" w:themeColor="background1"/>
      </w:tblBorders>
    </w:tblPr>
    <w:tcPr>
      <w:shd w:val="clear" w:color="auto" w:fill="FAE2D5" w:themeFill="accent2" w:themeFillTint="33"/>
    </w:tcPr>
    <w:tblStylePr w:type="firstRow">
      <w:rPr>
        <w:b/>
        <w:bCs/>
      </w:rPr>
      <w:tblPr/>
      <w:tcPr>
        <w:shd w:val="clear" w:color="auto" w:fill="F6C5AC" w:themeFill="accent2" w:themeFillTint="66"/>
      </w:tcPr>
    </w:tblStylePr>
    <w:tblStylePr w:type="lastRow">
      <w:rPr>
        <w:b/>
        <w:bCs/>
        <w:color w:val="000000" w:themeColor="text1"/>
      </w:rPr>
      <w:tblPr/>
      <w:tcPr>
        <w:shd w:val="clear" w:color="auto" w:fill="F6C5AC" w:themeFill="accent2" w:themeFillTint="66"/>
      </w:tcPr>
    </w:tblStylePr>
    <w:tblStylePr w:type="firstCol">
      <w:rPr>
        <w:color w:val="FFFFFF" w:themeColor="background1"/>
      </w:rPr>
      <w:tblPr/>
      <w:tcPr>
        <w:shd w:val="clear" w:color="auto" w:fill="BF4E14" w:themeFill="accent2" w:themeFillShade="BF"/>
      </w:tcPr>
    </w:tblStylePr>
    <w:tblStylePr w:type="lastCol">
      <w:rPr>
        <w:color w:val="FFFFFF" w:themeColor="background1"/>
      </w:rPr>
      <w:tblPr/>
      <w:tcPr>
        <w:shd w:val="clear" w:color="auto" w:fill="BF4E14" w:themeFill="accent2" w:themeFillShade="BF"/>
      </w:tcPr>
    </w:tblStylePr>
    <w:tblStylePr w:type="band1Vert">
      <w:tblPr/>
      <w:tcPr>
        <w:shd w:val="clear" w:color="auto" w:fill="F4B798" w:themeFill="accent2" w:themeFillTint="7F"/>
      </w:tcPr>
    </w:tblStylePr>
    <w:tblStylePr w:type="band1Horz">
      <w:tblPr/>
      <w:tcPr>
        <w:shd w:val="clear" w:color="auto" w:fill="F4B798" w:themeFill="accent2" w:themeFillTint="7F"/>
      </w:tcPr>
    </w:tblStylePr>
  </w:style>
  <w:style w:type="table" w:styleId="ColorfulGrid-Accent3">
    <w:name w:val="Colorful Grid Accent 3"/>
    <w:basedOn w:val="TableNormal"/>
    <w:uiPriority w:val="73"/>
    <w:semiHidden/>
    <w:unhideWhenUsed/>
    <w:rsid w:val="00C30033"/>
    <w:pPr>
      <w:spacing w:after="0" w:line="240" w:lineRule="auto"/>
    </w:pPr>
    <w:rPr>
      <w:color w:val="000000" w:themeColor="text1"/>
      <w:kern w:val="0"/>
      <w:sz w:val="22"/>
      <w:szCs w:val="22"/>
      <w:lang w:val="en-GB"/>
      <w14:ligatures w14:val="none"/>
    </w:rPr>
    <w:tblPr>
      <w:tblStyleRowBandSize w:val="1"/>
      <w:tblStyleColBandSize w:val="1"/>
      <w:tblBorders>
        <w:insideH w:val="single" w:sz="4" w:space="0" w:color="FFFFFF" w:themeColor="background1"/>
      </w:tblBorders>
    </w:tblPr>
    <w:tcPr>
      <w:shd w:val="clear" w:color="auto" w:fill="C1F0C7" w:themeFill="accent3" w:themeFillTint="33"/>
    </w:tcPr>
    <w:tblStylePr w:type="firstRow">
      <w:rPr>
        <w:b/>
        <w:bCs/>
      </w:rPr>
      <w:tblPr/>
      <w:tcPr>
        <w:shd w:val="clear" w:color="auto" w:fill="84E290" w:themeFill="accent3" w:themeFillTint="66"/>
      </w:tcPr>
    </w:tblStylePr>
    <w:tblStylePr w:type="lastRow">
      <w:rPr>
        <w:b/>
        <w:bCs/>
        <w:color w:val="000000" w:themeColor="text1"/>
      </w:rPr>
      <w:tblPr/>
      <w:tcPr>
        <w:shd w:val="clear" w:color="auto" w:fill="84E290" w:themeFill="accent3" w:themeFillTint="66"/>
      </w:tcPr>
    </w:tblStylePr>
    <w:tblStylePr w:type="firstCol">
      <w:rPr>
        <w:color w:val="FFFFFF" w:themeColor="background1"/>
      </w:rPr>
      <w:tblPr/>
      <w:tcPr>
        <w:shd w:val="clear" w:color="auto" w:fill="124F1A" w:themeFill="accent3" w:themeFillShade="BF"/>
      </w:tcPr>
    </w:tblStylePr>
    <w:tblStylePr w:type="lastCol">
      <w:rPr>
        <w:color w:val="FFFFFF" w:themeColor="background1"/>
      </w:rPr>
      <w:tblPr/>
      <w:tcPr>
        <w:shd w:val="clear" w:color="auto" w:fill="124F1A" w:themeFill="accent3" w:themeFillShade="BF"/>
      </w:tcPr>
    </w:tblStylePr>
    <w:tblStylePr w:type="band1Vert">
      <w:tblPr/>
      <w:tcPr>
        <w:shd w:val="clear" w:color="auto" w:fill="66DB75" w:themeFill="accent3" w:themeFillTint="7F"/>
      </w:tcPr>
    </w:tblStylePr>
    <w:tblStylePr w:type="band1Horz">
      <w:tblPr/>
      <w:tcPr>
        <w:shd w:val="clear" w:color="auto" w:fill="66DB75" w:themeFill="accent3" w:themeFillTint="7F"/>
      </w:tcPr>
    </w:tblStylePr>
  </w:style>
  <w:style w:type="table" w:styleId="ColorfulGrid-Accent4">
    <w:name w:val="Colorful Grid Accent 4"/>
    <w:basedOn w:val="TableNormal"/>
    <w:uiPriority w:val="73"/>
    <w:semiHidden/>
    <w:unhideWhenUsed/>
    <w:rsid w:val="00C30033"/>
    <w:pPr>
      <w:spacing w:after="0" w:line="240" w:lineRule="auto"/>
    </w:pPr>
    <w:rPr>
      <w:color w:val="000000" w:themeColor="text1"/>
      <w:kern w:val="0"/>
      <w:sz w:val="22"/>
      <w:szCs w:val="22"/>
      <w:lang w:val="en-GB"/>
      <w14:ligatures w14:val="none"/>
    </w:rPr>
    <w:tblPr>
      <w:tblStyleRowBandSize w:val="1"/>
      <w:tblStyleColBandSize w:val="1"/>
      <w:tblBorders>
        <w:insideH w:val="single" w:sz="4" w:space="0" w:color="FFFFFF" w:themeColor="background1"/>
      </w:tblBorders>
    </w:tblPr>
    <w:tcPr>
      <w:shd w:val="clear" w:color="auto" w:fill="CAEDFB" w:themeFill="accent4" w:themeFillTint="33"/>
    </w:tcPr>
    <w:tblStylePr w:type="firstRow">
      <w:rPr>
        <w:b/>
        <w:bCs/>
      </w:rPr>
      <w:tblPr/>
      <w:tcPr>
        <w:shd w:val="clear" w:color="auto" w:fill="95DCF7" w:themeFill="accent4" w:themeFillTint="66"/>
      </w:tcPr>
    </w:tblStylePr>
    <w:tblStylePr w:type="lastRow">
      <w:rPr>
        <w:b/>
        <w:bCs/>
        <w:color w:val="000000" w:themeColor="text1"/>
      </w:rPr>
      <w:tblPr/>
      <w:tcPr>
        <w:shd w:val="clear" w:color="auto" w:fill="95DCF7" w:themeFill="accent4" w:themeFillTint="66"/>
      </w:tcPr>
    </w:tblStylePr>
    <w:tblStylePr w:type="firstCol">
      <w:rPr>
        <w:color w:val="FFFFFF" w:themeColor="background1"/>
      </w:rPr>
      <w:tblPr/>
      <w:tcPr>
        <w:shd w:val="clear" w:color="auto" w:fill="0B769F" w:themeFill="accent4" w:themeFillShade="BF"/>
      </w:tcPr>
    </w:tblStylePr>
    <w:tblStylePr w:type="lastCol">
      <w:rPr>
        <w:color w:val="FFFFFF" w:themeColor="background1"/>
      </w:rPr>
      <w:tblPr/>
      <w:tcPr>
        <w:shd w:val="clear" w:color="auto" w:fill="0B769F" w:themeFill="accent4" w:themeFillShade="BF"/>
      </w:tcPr>
    </w:tblStylePr>
    <w:tblStylePr w:type="band1Vert">
      <w:tblPr/>
      <w:tcPr>
        <w:shd w:val="clear" w:color="auto" w:fill="7BD3F5" w:themeFill="accent4" w:themeFillTint="7F"/>
      </w:tcPr>
    </w:tblStylePr>
    <w:tblStylePr w:type="band1Horz">
      <w:tblPr/>
      <w:tcPr>
        <w:shd w:val="clear" w:color="auto" w:fill="7BD3F5" w:themeFill="accent4" w:themeFillTint="7F"/>
      </w:tcPr>
    </w:tblStylePr>
  </w:style>
  <w:style w:type="table" w:styleId="ColorfulGrid-Accent5">
    <w:name w:val="Colorful Grid Accent 5"/>
    <w:basedOn w:val="TableNormal"/>
    <w:uiPriority w:val="73"/>
    <w:semiHidden/>
    <w:unhideWhenUsed/>
    <w:rsid w:val="00C30033"/>
    <w:pPr>
      <w:spacing w:after="0" w:line="240" w:lineRule="auto"/>
    </w:pPr>
    <w:rPr>
      <w:color w:val="000000" w:themeColor="text1"/>
      <w:kern w:val="0"/>
      <w:sz w:val="22"/>
      <w:szCs w:val="22"/>
      <w:lang w:val="en-GB"/>
      <w14:ligatures w14:val="none"/>
    </w:rPr>
    <w:tblPr>
      <w:tblStyleRowBandSize w:val="1"/>
      <w:tblStyleColBandSize w:val="1"/>
      <w:tblBorders>
        <w:insideH w:val="single" w:sz="4" w:space="0" w:color="FFFFFF" w:themeColor="background1"/>
      </w:tblBorders>
    </w:tblPr>
    <w:tcPr>
      <w:shd w:val="clear" w:color="auto" w:fill="F2CEED" w:themeFill="accent5" w:themeFillTint="33"/>
    </w:tcPr>
    <w:tblStylePr w:type="firstRow">
      <w:rPr>
        <w:b/>
        <w:bCs/>
      </w:rPr>
      <w:tblPr/>
      <w:tcPr>
        <w:shd w:val="clear" w:color="auto" w:fill="E59EDC" w:themeFill="accent5" w:themeFillTint="66"/>
      </w:tcPr>
    </w:tblStylePr>
    <w:tblStylePr w:type="lastRow">
      <w:rPr>
        <w:b/>
        <w:bCs/>
        <w:color w:val="000000" w:themeColor="text1"/>
      </w:rPr>
      <w:tblPr/>
      <w:tcPr>
        <w:shd w:val="clear" w:color="auto" w:fill="E59EDC" w:themeFill="accent5" w:themeFillTint="66"/>
      </w:tcPr>
    </w:tblStylePr>
    <w:tblStylePr w:type="firstCol">
      <w:rPr>
        <w:color w:val="FFFFFF" w:themeColor="background1"/>
      </w:rPr>
      <w:tblPr/>
      <w:tcPr>
        <w:shd w:val="clear" w:color="auto" w:fill="77206D" w:themeFill="accent5" w:themeFillShade="BF"/>
      </w:tcPr>
    </w:tblStylePr>
    <w:tblStylePr w:type="lastCol">
      <w:rPr>
        <w:color w:val="FFFFFF" w:themeColor="background1"/>
      </w:rPr>
      <w:tblPr/>
      <w:tcPr>
        <w:shd w:val="clear" w:color="auto" w:fill="77206D" w:themeFill="accent5" w:themeFillShade="BF"/>
      </w:tcPr>
    </w:tblStylePr>
    <w:tblStylePr w:type="band1Vert">
      <w:tblPr/>
      <w:tcPr>
        <w:shd w:val="clear" w:color="auto" w:fill="DE86D4" w:themeFill="accent5" w:themeFillTint="7F"/>
      </w:tcPr>
    </w:tblStylePr>
    <w:tblStylePr w:type="band1Horz">
      <w:tblPr/>
      <w:tcPr>
        <w:shd w:val="clear" w:color="auto" w:fill="DE86D4" w:themeFill="accent5" w:themeFillTint="7F"/>
      </w:tcPr>
    </w:tblStylePr>
  </w:style>
  <w:style w:type="table" w:styleId="ColorfulGrid-Accent6">
    <w:name w:val="Colorful Grid Accent 6"/>
    <w:basedOn w:val="TableNormal"/>
    <w:uiPriority w:val="73"/>
    <w:semiHidden/>
    <w:unhideWhenUsed/>
    <w:rsid w:val="00C30033"/>
    <w:pPr>
      <w:spacing w:after="0" w:line="240" w:lineRule="auto"/>
    </w:pPr>
    <w:rPr>
      <w:color w:val="000000" w:themeColor="text1"/>
      <w:kern w:val="0"/>
      <w:sz w:val="22"/>
      <w:szCs w:val="22"/>
      <w:lang w:val="en-GB"/>
      <w14:ligatures w14:val="none"/>
    </w:rPr>
    <w:tblPr>
      <w:tblStyleRowBandSize w:val="1"/>
      <w:tblStyleColBandSize w:val="1"/>
      <w:tblBorders>
        <w:insideH w:val="single" w:sz="4" w:space="0" w:color="FFFFFF" w:themeColor="background1"/>
      </w:tblBorders>
    </w:tblPr>
    <w:tcPr>
      <w:shd w:val="clear" w:color="auto" w:fill="D9F2D0" w:themeFill="accent6" w:themeFillTint="33"/>
    </w:tcPr>
    <w:tblStylePr w:type="firstRow">
      <w:rPr>
        <w:b/>
        <w:bCs/>
      </w:rPr>
      <w:tblPr/>
      <w:tcPr>
        <w:shd w:val="clear" w:color="auto" w:fill="B3E5A1" w:themeFill="accent6" w:themeFillTint="66"/>
      </w:tcPr>
    </w:tblStylePr>
    <w:tblStylePr w:type="lastRow">
      <w:rPr>
        <w:b/>
        <w:bCs/>
        <w:color w:val="000000" w:themeColor="text1"/>
      </w:rPr>
      <w:tblPr/>
      <w:tcPr>
        <w:shd w:val="clear" w:color="auto" w:fill="B3E5A1" w:themeFill="accent6" w:themeFillTint="66"/>
      </w:tcPr>
    </w:tblStylePr>
    <w:tblStylePr w:type="firstCol">
      <w:rPr>
        <w:color w:val="FFFFFF" w:themeColor="background1"/>
      </w:rPr>
      <w:tblPr/>
      <w:tcPr>
        <w:shd w:val="clear" w:color="auto" w:fill="3A7C22" w:themeFill="accent6" w:themeFillShade="BF"/>
      </w:tcPr>
    </w:tblStylePr>
    <w:tblStylePr w:type="lastCol">
      <w:rPr>
        <w:color w:val="FFFFFF" w:themeColor="background1"/>
      </w:rPr>
      <w:tblPr/>
      <w:tcPr>
        <w:shd w:val="clear" w:color="auto" w:fill="3A7C22" w:themeFill="accent6" w:themeFillShade="BF"/>
      </w:tcPr>
    </w:tblStylePr>
    <w:tblStylePr w:type="band1Vert">
      <w:tblPr/>
      <w:tcPr>
        <w:shd w:val="clear" w:color="auto" w:fill="A0DF8A" w:themeFill="accent6" w:themeFillTint="7F"/>
      </w:tcPr>
    </w:tblStylePr>
    <w:tblStylePr w:type="band1Horz">
      <w:tblPr/>
      <w:tcPr>
        <w:shd w:val="clear" w:color="auto" w:fill="A0DF8A" w:themeFill="accent6" w:themeFillTint="7F"/>
      </w:tcPr>
    </w:tblStylePr>
  </w:style>
  <w:style w:type="table" w:styleId="ColorfulList">
    <w:name w:val="Colorful List"/>
    <w:basedOn w:val="TableNormal"/>
    <w:uiPriority w:val="72"/>
    <w:semiHidden/>
    <w:unhideWhenUsed/>
    <w:rsid w:val="00C30033"/>
    <w:pPr>
      <w:spacing w:after="0" w:line="240" w:lineRule="auto"/>
    </w:pPr>
    <w:rPr>
      <w:color w:val="000000" w:themeColor="text1"/>
      <w:kern w:val="0"/>
      <w:sz w:val="22"/>
      <w:szCs w:val="22"/>
      <w:lang w:val="en-GB"/>
      <w14:ligatures w14:val="none"/>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CC5416" w:themeFill="accent2" w:themeFillShade="CC"/>
      </w:tcPr>
    </w:tblStylePr>
    <w:tblStylePr w:type="lastRow">
      <w:rPr>
        <w:b/>
        <w:bCs/>
        <w:color w:val="CC5416"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rsid w:val="00C30033"/>
    <w:pPr>
      <w:spacing w:after="0" w:line="240" w:lineRule="auto"/>
    </w:pPr>
    <w:rPr>
      <w:color w:val="000000" w:themeColor="text1"/>
      <w:kern w:val="0"/>
      <w:sz w:val="22"/>
      <w:szCs w:val="22"/>
      <w:lang w:val="en-GB"/>
      <w14:ligatures w14:val="none"/>
    </w:rPr>
    <w:tblPr>
      <w:tblStyleRowBandSize w:val="1"/>
      <w:tblStyleColBandSize w:val="1"/>
    </w:tblPr>
    <w:tcPr>
      <w:shd w:val="clear" w:color="auto" w:fill="E0F2FA" w:themeFill="accent1" w:themeFillTint="19"/>
    </w:tcPr>
    <w:tblStylePr w:type="firstRow">
      <w:rPr>
        <w:b/>
        <w:bCs/>
        <w:color w:val="FFFFFF" w:themeColor="background1"/>
      </w:rPr>
      <w:tblPr/>
      <w:tcPr>
        <w:tcBorders>
          <w:bottom w:val="single" w:sz="12" w:space="0" w:color="FFFFFF" w:themeColor="background1"/>
        </w:tcBorders>
        <w:shd w:val="clear" w:color="auto" w:fill="CC5416" w:themeFill="accent2" w:themeFillShade="CC"/>
      </w:tcPr>
    </w:tblStylePr>
    <w:tblStylePr w:type="lastRow">
      <w:rPr>
        <w:b/>
        <w:bCs/>
        <w:color w:val="CC5416"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2DEF2" w:themeFill="accent1" w:themeFillTint="3F"/>
      </w:tcPr>
    </w:tblStylePr>
    <w:tblStylePr w:type="band1Horz">
      <w:tblPr/>
      <w:tcPr>
        <w:shd w:val="clear" w:color="auto" w:fill="C1E4F5" w:themeFill="accent1" w:themeFillTint="33"/>
      </w:tcPr>
    </w:tblStylePr>
  </w:style>
  <w:style w:type="table" w:styleId="ColorfulList-Accent2">
    <w:name w:val="Colorful List Accent 2"/>
    <w:basedOn w:val="TableNormal"/>
    <w:uiPriority w:val="72"/>
    <w:semiHidden/>
    <w:unhideWhenUsed/>
    <w:rsid w:val="00C30033"/>
    <w:pPr>
      <w:spacing w:after="0" w:line="240" w:lineRule="auto"/>
    </w:pPr>
    <w:rPr>
      <w:color w:val="000000" w:themeColor="text1"/>
      <w:kern w:val="0"/>
      <w:sz w:val="22"/>
      <w:szCs w:val="22"/>
      <w:lang w:val="en-GB"/>
      <w14:ligatures w14:val="none"/>
    </w:rPr>
    <w:tblPr>
      <w:tblStyleRowBandSize w:val="1"/>
      <w:tblStyleColBandSize w:val="1"/>
    </w:tblPr>
    <w:tcPr>
      <w:shd w:val="clear" w:color="auto" w:fill="FCF0EA" w:themeFill="accent2" w:themeFillTint="19"/>
    </w:tcPr>
    <w:tblStylePr w:type="firstRow">
      <w:rPr>
        <w:b/>
        <w:bCs/>
        <w:color w:val="FFFFFF" w:themeColor="background1"/>
      </w:rPr>
      <w:tblPr/>
      <w:tcPr>
        <w:tcBorders>
          <w:bottom w:val="single" w:sz="12" w:space="0" w:color="FFFFFF" w:themeColor="background1"/>
        </w:tcBorders>
        <w:shd w:val="clear" w:color="auto" w:fill="CC5416" w:themeFill="accent2" w:themeFillShade="CC"/>
      </w:tcPr>
    </w:tblStylePr>
    <w:tblStylePr w:type="lastRow">
      <w:rPr>
        <w:b/>
        <w:bCs/>
        <w:color w:val="CC5416"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9DBCC" w:themeFill="accent2" w:themeFillTint="3F"/>
      </w:tcPr>
    </w:tblStylePr>
    <w:tblStylePr w:type="band1Horz">
      <w:tblPr/>
      <w:tcPr>
        <w:shd w:val="clear" w:color="auto" w:fill="FAE2D5" w:themeFill="accent2" w:themeFillTint="33"/>
      </w:tcPr>
    </w:tblStylePr>
  </w:style>
  <w:style w:type="table" w:styleId="ColorfulList-Accent3">
    <w:name w:val="Colorful List Accent 3"/>
    <w:basedOn w:val="TableNormal"/>
    <w:uiPriority w:val="72"/>
    <w:semiHidden/>
    <w:unhideWhenUsed/>
    <w:rsid w:val="00C30033"/>
    <w:pPr>
      <w:spacing w:after="0" w:line="240" w:lineRule="auto"/>
    </w:pPr>
    <w:rPr>
      <w:color w:val="000000" w:themeColor="text1"/>
      <w:kern w:val="0"/>
      <w:sz w:val="22"/>
      <w:szCs w:val="22"/>
      <w:lang w:val="en-GB"/>
      <w14:ligatures w14:val="none"/>
    </w:rPr>
    <w:tblPr>
      <w:tblStyleRowBandSize w:val="1"/>
      <w:tblStyleColBandSize w:val="1"/>
    </w:tblPr>
    <w:tcPr>
      <w:shd w:val="clear" w:color="auto" w:fill="E0F8E3" w:themeFill="accent3" w:themeFillTint="19"/>
    </w:tcPr>
    <w:tblStylePr w:type="firstRow">
      <w:rPr>
        <w:b/>
        <w:bCs/>
        <w:color w:val="FFFFFF" w:themeColor="background1"/>
      </w:rPr>
      <w:tblPr/>
      <w:tcPr>
        <w:tcBorders>
          <w:bottom w:val="single" w:sz="12" w:space="0" w:color="FFFFFF" w:themeColor="background1"/>
        </w:tcBorders>
        <w:shd w:val="clear" w:color="auto" w:fill="0C7EAA" w:themeFill="accent4" w:themeFillShade="CC"/>
      </w:tcPr>
    </w:tblStylePr>
    <w:tblStylePr w:type="lastRow">
      <w:rPr>
        <w:b/>
        <w:bCs/>
        <w:color w:val="0C7EAA"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3EDBA" w:themeFill="accent3" w:themeFillTint="3F"/>
      </w:tcPr>
    </w:tblStylePr>
    <w:tblStylePr w:type="band1Horz">
      <w:tblPr/>
      <w:tcPr>
        <w:shd w:val="clear" w:color="auto" w:fill="C1F0C7" w:themeFill="accent3" w:themeFillTint="33"/>
      </w:tcPr>
    </w:tblStylePr>
  </w:style>
  <w:style w:type="table" w:styleId="ColorfulList-Accent4">
    <w:name w:val="Colorful List Accent 4"/>
    <w:basedOn w:val="TableNormal"/>
    <w:uiPriority w:val="72"/>
    <w:semiHidden/>
    <w:unhideWhenUsed/>
    <w:rsid w:val="00C30033"/>
    <w:pPr>
      <w:spacing w:after="0" w:line="240" w:lineRule="auto"/>
    </w:pPr>
    <w:rPr>
      <w:color w:val="000000" w:themeColor="text1"/>
      <w:kern w:val="0"/>
      <w:sz w:val="22"/>
      <w:szCs w:val="22"/>
      <w:lang w:val="en-GB"/>
      <w14:ligatures w14:val="none"/>
    </w:rPr>
    <w:tblPr>
      <w:tblStyleRowBandSize w:val="1"/>
      <w:tblStyleColBandSize w:val="1"/>
    </w:tblPr>
    <w:tcPr>
      <w:shd w:val="clear" w:color="auto" w:fill="E5F6FD" w:themeFill="accent4" w:themeFillTint="19"/>
    </w:tcPr>
    <w:tblStylePr w:type="firstRow">
      <w:rPr>
        <w:b/>
        <w:bCs/>
        <w:color w:val="FFFFFF" w:themeColor="background1"/>
      </w:rPr>
      <w:tblPr/>
      <w:tcPr>
        <w:tcBorders>
          <w:bottom w:val="single" w:sz="12" w:space="0" w:color="FFFFFF" w:themeColor="background1"/>
        </w:tcBorders>
        <w:shd w:val="clear" w:color="auto" w:fill="14551C" w:themeFill="accent3" w:themeFillShade="CC"/>
      </w:tcPr>
    </w:tblStylePr>
    <w:tblStylePr w:type="lastRow">
      <w:rPr>
        <w:b/>
        <w:bCs/>
        <w:color w:val="14551C"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DE9FA" w:themeFill="accent4" w:themeFillTint="3F"/>
      </w:tcPr>
    </w:tblStylePr>
    <w:tblStylePr w:type="band1Horz">
      <w:tblPr/>
      <w:tcPr>
        <w:shd w:val="clear" w:color="auto" w:fill="CAEDFB" w:themeFill="accent4" w:themeFillTint="33"/>
      </w:tcPr>
    </w:tblStylePr>
  </w:style>
  <w:style w:type="table" w:styleId="ColorfulList-Accent5">
    <w:name w:val="Colorful List Accent 5"/>
    <w:basedOn w:val="TableNormal"/>
    <w:uiPriority w:val="72"/>
    <w:semiHidden/>
    <w:unhideWhenUsed/>
    <w:rsid w:val="00C30033"/>
    <w:pPr>
      <w:spacing w:after="0" w:line="240" w:lineRule="auto"/>
    </w:pPr>
    <w:rPr>
      <w:color w:val="000000" w:themeColor="text1"/>
      <w:kern w:val="0"/>
      <w:sz w:val="22"/>
      <w:szCs w:val="22"/>
      <w:lang w:val="en-GB"/>
      <w14:ligatures w14:val="none"/>
    </w:rPr>
    <w:tblPr>
      <w:tblStyleRowBandSize w:val="1"/>
      <w:tblStyleColBandSize w:val="1"/>
    </w:tblPr>
    <w:tcPr>
      <w:shd w:val="clear" w:color="auto" w:fill="F8E7F6" w:themeFill="accent5" w:themeFillTint="19"/>
    </w:tcPr>
    <w:tblStylePr w:type="firstRow">
      <w:rPr>
        <w:b/>
        <w:bCs/>
        <w:color w:val="FFFFFF" w:themeColor="background1"/>
      </w:rPr>
      <w:tblPr/>
      <w:tcPr>
        <w:tcBorders>
          <w:bottom w:val="single" w:sz="12" w:space="0" w:color="FFFFFF" w:themeColor="background1"/>
        </w:tcBorders>
        <w:shd w:val="clear" w:color="auto" w:fill="3E8524" w:themeFill="accent6" w:themeFillShade="CC"/>
      </w:tcPr>
    </w:tblStylePr>
    <w:tblStylePr w:type="lastRow">
      <w:rPr>
        <w:b/>
        <w:bCs/>
        <w:color w:val="3E8524"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C3E9" w:themeFill="accent5" w:themeFillTint="3F"/>
      </w:tcPr>
    </w:tblStylePr>
    <w:tblStylePr w:type="band1Horz">
      <w:tblPr/>
      <w:tcPr>
        <w:shd w:val="clear" w:color="auto" w:fill="F2CEED" w:themeFill="accent5" w:themeFillTint="33"/>
      </w:tcPr>
    </w:tblStylePr>
  </w:style>
  <w:style w:type="table" w:styleId="ColorfulList-Accent6">
    <w:name w:val="Colorful List Accent 6"/>
    <w:basedOn w:val="TableNormal"/>
    <w:uiPriority w:val="72"/>
    <w:semiHidden/>
    <w:unhideWhenUsed/>
    <w:rsid w:val="00C30033"/>
    <w:pPr>
      <w:spacing w:after="0" w:line="240" w:lineRule="auto"/>
    </w:pPr>
    <w:rPr>
      <w:color w:val="000000" w:themeColor="text1"/>
      <w:kern w:val="0"/>
      <w:sz w:val="22"/>
      <w:szCs w:val="22"/>
      <w:lang w:val="en-GB"/>
      <w14:ligatures w14:val="none"/>
    </w:rPr>
    <w:tblPr>
      <w:tblStyleRowBandSize w:val="1"/>
      <w:tblStyleColBandSize w:val="1"/>
    </w:tblPr>
    <w:tcPr>
      <w:shd w:val="clear" w:color="auto" w:fill="ECF8E8" w:themeFill="accent6" w:themeFillTint="19"/>
    </w:tcPr>
    <w:tblStylePr w:type="firstRow">
      <w:rPr>
        <w:b/>
        <w:bCs/>
        <w:color w:val="FFFFFF" w:themeColor="background1"/>
      </w:rPr>
      <w:tblPr/>
      <w:tcPr>
        <w:tcBorders>
          <w:bottom w:val="single" w:sz="12" w:space="0" w:color="FFFFFF" w:themeColor="background1"/>
        </w:tcBorders>
        <w:shd w:val="clear" w:color="auto" w:fill="7F2275" w:themeFill="accent5" w:themeFillShade="CC"/>
      </w:tcPr>
    </w:tblStylePr>
    <w:tblStylePr w:type="lastRow">
      <w:rPr>
        <w:b/>
        <w:bCs/>
        <w:color w:val="7F227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EFC5" w:themeFill="accent6" w:themeFillTint="3F"/>
      </w:tcPr>
    </w:tblStylePr>
    <w:tblStylePr w:type="band1Horz">
      <w:tblPr/>
      <w:tcPr>
        <w:shd w:val="clear" w:color="auto" w:fill="D9F2D0" w:themeFill="accent6" w:themeFillTint="33"/>
      </w:tcPr>
    </w:tblStylePr>
  </w:style>
  <w:style w:type="table" w:styleId="ColorfulShading">
    <w:name w:val="Colorful Shading"/>
    <w:basedOn w:val="TableNormal"/>
    <w:uiPriority w:val="71"/>
    <w:semiHidden/>
    <w:unhideWhenUsed/>
    <w:rsid w:val="00C30033"/>
    <w:pPr>
      <w:spacing w:after="0" w:line="240" w:lineRule="auto"/>
    </w:pPr>
    <w:rPr>
      <w:color w:val="000000" w:themeColor="text1"/>
      <w:kern w:val="0"/>
      <w:sz w:val="22"/>
      <w:szCs w:val="22"/>
      <w:lang w:val="en-GB"/>
      <w14:ligatures w14:val="none"/>
    </w:rPr>
    <w:tblPr>
      <w:tblStyleRowBandSize w:val="1"/>
      <w:tblStyleColBandSize w:val="1"/>
      <w:tblBorders>
        <w:top w:val="single" w:sz="24" w:space="0" w:color="E97132"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9713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rsid w:val="00C30033"/>
    <w:pPr>
      <w:spacing w:after="0" w:line="240" w:lineRule="auto"/>
    </w:pPr>
    <w:rPr>
      <w:color w:val="000000" w:themeColor="text1"/>
      <w:kern w:val="0"/>
      <w:sz w:val="22"/>
      <w:szCs w:val="22"/>
      <w:lang w:val="en-GB"/>
      <w14:ligatures w14:val="none"/>
    </w:rPr>
    <w:tblPr>
      <w:tblStyleRowBandSize w:val="1"/>
      <w:tblStyleColBandSize w:val="1"/>
      <w:tblBorders>
        <w:top w:val="single" w:sz="24" w:space="0" w:color="E97132" w:themeColor="accent2"/>
        <w:left w:val="single" w:sz="4" w:space="0" w:color="156082" w:themeColor="accent1"/>
        <w:bottom w:val="single" w:sz="4" w:space="0" w:color="156082" w:themeColor="accent1"/>
        <w:right w:val="single" w:sz="4" w:space="0" w:color="156082" w:themeColor="accent1"/>
        <w:insideH w:val="single" w:sz="4" w:space="0" w:color="FFFFFF" w:themeColor="background1"/>
        <w:insideV w:val="single" w:sz="4" w:space="0" w:color="FFFFFF" w:themeColor="background1"/>
      </w:tblBorders>
    </w:tblPr>
    <w:tcPr>
      <w:shd w:val="clear" w:color="auto" w:fill="E0F2FA" w:themeFill="accent1" w:themeFillTint="19"/>
    </w:tcPr>
    <w:tblStylePr w:type="firstRow">
      <w:rPr>
        <w:b/>
        <w:bCs/>
      </w:rPr>
      <w:tblPr/>
      <w:tcPr>
        <w:tcBorders>
          <w:top w:val="nil"/>
          <w:left w:val="nil"/>
          <w:bottom w:val="single" w:sz="24" w:space="0" w:color="E9713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C394D" w:themeFill="accent1" w:themeFillShade="99"/>
      </w:tcPr>
    </w:tblStylePr>
    <w:tblStylePr w:type="firstCol">
      <w:rPr>
        <w:color w:val="FFFFFF" w:themeColor="background1"/>
      </w:rPr>
      <w:tblPr/>
      <w:tcPr>
        <w:tcBorders>
          <w:top w:val="nil"/>
          <w:left w:val="nil"/>
          <w:bottom w:val="nil"/>
          <w:right w:val="nil"/>
          <w:insideH w:val="single" w:sz="4" w:space="0" w:color="0C394D" w:themeColor="accent1" w:themeShade="99"/>
          <w:insideV w:val="nil"/>
        </w:tcBorders>
        <w:shd w:val="clear" w:color="auto" w:fill="0C394D"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C394D" w:themeFill="accent1" w:themeFillShade="99"/>
      </w:tcPr>
    </w:tblStylePr>
    <w:tblStylePr w:type="band1Vert">
      <w:tblPr/>
      <w:tcPr>
        <w:shd w:val="clear" w:color="auto" w:fill="83CAEB" w:themeFill="accent1" w:themeFillTint="66"/>
      </w:tcPr>
    </w:tblStylePr>
    <w:tblStylePr w:type="band1Horz">
      <w:tblPr/>
      <w:tcPr>
        <w:shd w:val="clear" w:color="auto" w:fill="64BDE6"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sid w:val="00C30033"/>
    <w:pPr>
      <w:spacing w:after="0" w:line="240" w:lineRule="auto"/>
    </w:pPr>
    <w:rPr>
      <w:color w:val="000000" w:themeColor="text1"/>
      <w:kern w:val="0"/>
      <w:sz w:val="22"/>
      <w:szCs w:val="22"/>
      <w:lang w:val="en-GB"/>
      <w14:ligatures w14:val="none"/>
    </w:rPr>
    <w:tblPr>
      <w:tblStyleRowBandSize w:val="1"/>
      <w:tblStyleColBandSize w:val="1"/>
      <w:tblBorders>
        <w:top w:val="single" w:sz="24" w:space="0" w:color="E97132" w:themeColor="accent2"/>
        <w:left w:val="single" w:sz="4" w:space="0" w:color="E97132" w:themeColor="accent2"/>
        <w:bottom w:val="single" w:sz="4" w:space="0" w:color="E97132" w:themeColor="accent2"/>
        <w:right w:val="single" w:sz="4" w:space="0" w:color="E97132" w:themeColor="accent2"/>
        <w:insideH w:val="single" w:sz="4" w:space="0" w:color="FFFFFF" w:themeColor="background1"/>
        <w:insideV w:val="single" w:sz="4" w:space="0" w:color="FFFFFF" w:themeColor="background1"/>
      </w:tblBorders>
    </w:tblPr>
    <w:tcPr>
      <w:shd w:val="clear" w:color="auto" w:fill="FCF0EA" w:themeFill="accent2" w:themeFillTint="19"/>
    </w:tcPr>
    <w:tblStylePr w:type="firstRow">
      <w:rPr>
        <w:b/>
        <w:bCs/>
      </w:rPr>
      <w:tblPr/>
      <w:tcPr>
        <w:tcBorders>
          <w:top w:val="nil"/>
          <w:left w:val="nil"/>
          <w:bottom w:val="single" w:sz="24" w:space="0" w:color="E9713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3F10" w:themeFill="accent2" w:themeFillShade="99"/>
      </w:tcPr>
    </w:tblStylePr>
    <w:tblStylePr w:type="firstCol">
      <w:rPr>
        <w:color w:val="FFFFFF" w:themeColor="background1"/>
      </w:rPr>
      <w:tblPr/>
      <w:tcPr>
        <w:tcBorders>
          <w:top w:val="nil"/>
          <w:left w:val="nil"/>
          <w:bottom w:val="nil"/>
          <w:right w:val="nil"/>
          <w:insideH w:val="single" w:sz="4" w:space="0" w:color="993F10" w:themeColor="accent2" w:themeShade="99"/>
          <w:insideV w:val="nil"/>
        </w:tcBorders>
        <w:shd w:val="clear" w:color="auto" w:fill="993F10"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93F10" w:themeFill="accent2" w:themeFillShade="99"/>
      </w:tcPr>
    </w:tblStylePr>
    <w:tblStylePr w:type="band1Vert">
      <w:tblPr/>
      <w:tcPr>
        <w:shd w:val="clear" w:color="auto" w:fill="F6C5AC" w:themeFill="accent2" w:themeFillTint="66"/>
      </w:tcPr>
    </w:tblStylePr>
    <w:tblStylePr w:type="band1Horz">
      <w:tblPr/>
      <w:tcPr>
        <w:shd w:val="clear" w:color="auto" w:fill="F4B7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sid w:val="00C30033"/>
    <w:pPr>
      <w:spacing w:after="0" w:line="240" w:lineRule="auto"/>
    </w:pPr>
    <w:rPr>
      <w:color w:val="000000" w:themeColor="text1"/>
      <w:kern w:val="0"/>
      <w:sz w:val="22"/>
      <w:szCs w:val="22"/>
      <w:lang w:val="en-GB"/>
      <w14:ligatures w14:val="none"/>
    </w:rPr>
    <w:tblPr>
      <w:tblStyleRowBandSize w:val="1"/>
      <w:tblStyleColBandSize w:val="1"/>
      <w:tblBorders>
        <w:top w:val="single" w:sz="24" w:space="0" w:color="0F9ED5" w:themeColor="accent4"/>
        <w:left w:val="single" w:sz="4" w:space="0" w:color="196B24" w:themeColor="accent3"/>
        <w:bottom w:val="single" w:sz="4" w:space="0" w:color="196B24" w:themeColor="accent3"/>
        <w:right w:val="single" w:sz="4" w:space="0" w:color="196B24" w:themeColor="accent3"/>
        <w:insideH w:val="single" w:sz="4" w:space="0" w:color="FFFFFF" w:themeColor="background1"/>
        <w:insideV w:val="single" w:sz="4" w:space="0" w:color="FFFFFF" w:themeColor="background1"/>
      </w:tblBorders>
    </w:tblPr>
    <w:tcPr>
      <w:shd w:val="clear" w:color="auto" w:fill="E0F8E3" w:themeFill="accent3" w:themeFillTint="19"/>
    </w:tcPr>
    <w:tblStylePr w:type="firstRow">
      <w:rPr>
        <w:b/>
        <w:bCs/>
      </w:rPr>
      <w:tblPr/>
      <w:tcPr>
        <w:tcBorders>
          <w:top w:val="nil"/>
          <w:left w:val="nil"/>
          <w:bottom w:val="single" w:sz="24" w:space="0" w:color="0F9ED5"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F4015" w:themeFill="accent3" w:themeFillShade="99"/>
      </w:tcPr>
    </w:tblStylePr>
    <w:tblStylePr w:type="firstCol">
      <w:rPr>
        <w:color w:val="FFFFFF" w:themeColor="background1"/>
      </w:rPr>
      <w:tblPr/>
      <w:tcPr>
        <w:tcBorders>
          <w:top w:val="nil"/>
          <w:left w:val="nil"/>
          <w:bottom w:val="nil"/>
          <w:right w:val="nil"/>
          <w:insideH w:val="single" w:sz="4" w:space="0" w:color="0F4015" w:themeColor="accent3" w:themeShade="99"/>
          <w:insideV w:val="nil"/>
        </w:tcBorders>
        <w:shd w:val="clear" w:color="auto" w:fill="0F4015"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0F4015" w:themeFill="accent3" w:themeFillShade="99"/>
      </w:tcPr>
    </w:tblStylePr>
    <w:tblStylePr w:type="band1Vert">
      <w:tblPr/>
      <w:tcPr>
        <w:shd w:val="clear" w:color="auto" w:fill="84E290" w:themeFill="accent3" w:themeFillTint="66"/>
      </w:tcPr>
    </w:tblStylePr>
    <w:tblStylePr w:type="band1Horz">
      <w:tblPr/>
      <w:tcPr>
        <w:shd w:val="clear" w:color="auto" w:fill="66DB75" w:themeFill="accent3" w:themeFillTint="7F"/>
      </w:tcPr>
    </w:tblStylePr>
  </w:style>
  <w:style w:type="table" w:styleId="ColorfulShading-Accent4">
    <w:name w:val="Colorful Shading Accent 4"/>
    <w:basedOn w:val="TableNormal"/>
    <w:uiPriority w:val="71"/>
    <w:semiHidden/>
    <w:unhideWhenUsed/>
    <w:rsid w:val="00C30033"/>
    <w:pPr>
      <w:spacing w:after="0" w:line="240" w:lineRule="auto"/>
    </w:pPr>
    <w:rPr>
      <w:color w:val="000000" w:themeColor="text1"/>
      <w:kern w:val="0"/>
      <w:sz w:val="22"/>
      <w:szCs w:val="22"/>
      <w:lang w:val="en-GB"/>
      <w14:ligatures w14:val="none"/>
    </w:rPr>
    <w:tblPr>
      <w:tblStyleRowBandSize w:val="1"/>
      <w:tblStyleColBandSize w:val="1"/>
      <w:tblBorders>
        <w:top w:val="single" w:sz="24" w:space="0" w:color="196B24" w:themeColor="accent3"/>
        <w:left w:val="single" w:sz="4" w:space="0" w:color="0F9ED5" w:themeColor="accent4"/>
        <w:bottom w:val="single" w:sz="4" w:space="0" w:color="0F9ED5" w:themeColor="accent4"/>
        <w:right w:val="single" w:sz="4" w:space="0" w:color="0F9ED5" w:themeColor="accent4"/>
        <w:insideH w:val="single" w:sz="4" w:space="0" w:color="FFFFFF" w:themeColor="background1"/>
        <w:insideV w:val="single" w:sz="4" w:space="0" w:color="FFFFFF" w:themeColor="background1"/>
      </w:tblBorders>
    </w:tblPr>
    <w:tcPr>
      <w:shd w:val="clear" w:color="auto" w:fill="E5F6FD" w:themeFill="accent4" w:themeFillTint="19"/>
    </w:tcPr>
    <w:tblStylePr w:type="firstRow">
      <w:rPr>
        <w:b/>
        <w:bCs/>
      </w:rPr>
      <w:tblPr/>
      <w:tcPr>
        <w:tcBorders>
          <w:top w:val="nil"/>
          <w:left w:val="nil"/>
          <w:bottom w:val="single" w:sz="24" w:space="0" w:color="196B24"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95E7F" w:themeFill="accent4" w:themeFillShade="99"/>
      </w:tcPr>
    </w:tblStylePr>
    <w:tblStylePr w:type="firstCol">
      <w:rPr>
        <w:color w:val="FFFFFF" w:themeColor="background1"/>
      </w:rPr>
      <w:tblPr/>
      <w:tcPr>
        <w:tcBorders>
          <w:top w:val="nil"/>
          <w:left w:val="nil"/>
          <w:bottom w:val="nil"/>
          <w:right w:val="nil"/>
          <w:insideH w:val="single" w:sz="4" w:space="0" w:color="095E7F" w:themeColor="accent4" w:themeShade="99"/>
          <w:insideV w:val="nil"/>
        </w:tcBorders>
        <w:shd w:val="clear" w:color="auto" w:fill="095E7F"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095E7F" w:themeFill="accent4" w:themeFillShade="99"/>
      </w:tcPr>
    </w:tblStylePr>
    <w:tblStylePr w:type="band1Vert">
      <w:tblPr/>
      <w:tcPr>
        <w:shd w:val="clear" w:color="auto" w:fill="95DCF7" w:themeFill="accent4" w:themeFillTint="66"/>
      </w:tcPr>
    </w:tblStylePr>
    <w:tblStylePr w:type="band1Horz">
      <w:tblPr/>
      <w:tcPr>
        <w:shd w:val="clear" w:color="auto" w:fill="7BD3F5"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sid w:val="00C30033"/>
    <w:pPr>
      <w:spacing w:after="0" w:line="240" w:lineRule="auto"/>
    </w:pPr>
    <w:rPr>
      <w:color w:val="000000" w:themeColor="text1"/>
      <w:kern w:val="0"/>
      <w:sz w:val="22"/>
      <w:szCs w:val="22"/>
      <w:lang w:val="en-GB"/>
      <w14:ligatures w14:val="none"/>
    </w:rPr>
    <w:tblPr>
      <w:tblStyleRowBandSize w:val="1"/>
      <w:tblStyleColBandSize w:val="1"/>
      <w:tblBorders>
        <w:top w:val="single" w:sz="24" w:space="0" w:color="4EA72E" w:themeColor="accent6"/>
        <w:left w:val="single" w:sz="4" w:space="0" w:color="A02B93" w:themeColor="accent5"/>
        <w:bottom w:val="single" w:sz="4" w:space="0" w:color="A02B93" w:themeColor="accent5"/>
        <w:right w:val="single" w:sz="4" w:space="0" w:color="A02B93" w:themeColor="accent5"/>
        <w:insideH w:val="single" w:sz="4" w:space="0" w:color="FFFFFF" w:themeColor="background1"/>
        <w:insideV w:val="single" w:sz="4" w:space="0" w:color="FFFFFF" w:themeColor="background1"/>
      </w:tblBorders>
    </w:tblPr>
    <w:tcPr>
      <w:shd w:val="clear" w:color="auto" w:fill="F8E7F6" w:themeFill="accent5" w:themeFillTint="19"/>
    </w:tcPr>
    <w:tblStylePr w:type="firstRow">
      <w:rPr>
        <w:b/>
        <w:bCs/>
      </w:rPr>
      <w:tblPr/>
      <w:tcPr>
        <w:tcBorders>
          <w:top w:val="nil"/>
          <w:left w:val="nil"/>
          <w:bottom w:val="single" w:sz="24" w:space="0" w:color="4EA72E"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F1957" w:themeFill="accent5" w:themeFillShade="99"/>
      </w:tcPr>
    </w:tblStylePr>
    <w:tblStylePr w:type="firstCol">
      <w:rPr>
        <w:color w:val="FFFFFF" w:themeColor="background1"/>
      </w:rPr>
      <w:tblPr/>
      <w:tcPr>
        <w:tcBorders>
          <w:top w:val="nil"/>
          <w:left w:val="nil"/>
          <w:bottom w:val="nil"/>
          <w:right w:val="nil"/>
          <w:insideH w:val="single" w:sz="4" w:space="0" w:color="5F1957" w:themeColor="accent5" w:themeShade="99"/>
          <w:insideV w:val="nil"/>
        </w:tcBorders>
        <w:shd w:val="clear" w:color="auto" w:fill="5F1957"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5F1957" w:themeFill="accent5" w:themeFillShade="99"/>
      </w:tcPr>
    </w:tblStylePr>
    <w:tblStylePr w:type="band1Vert">
      <w:tblPr/>
      <w:tcPr>
        <w:shd w:val="clear" w:color="auto" w:fill="E59EDC" w:themeFill="accent5" w:themeFillTint="66"/>
      </w:tcPr>
    </w:tblStylePr>
    <w:tblStylePr w:type="band1Horz">
      <w:tblPr/>
      <w:tcPr>
        <w:shd w:val="clear" w:color="auto" w:fill="DE86D4"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unhideWhenUsed/>
    <w:rsid w:val="00C30033"/>
    <w:pPr>
      <w:spacing w:after="0" w:line="240" w:lineRule="auto"/>
    </w:pPr>
    <w:rPr>
      <w:color w:val="000000" w:themeColor="text1"/>
      <w:kern w:val="0"/>
      <w:sz w:val="22"/>
      <w:szCs w:val="22"/>
      <w:lang w:val="en-GB"/>
      <w14:ligatures w14:val="none"/>
    </w:rPr>
    <w:tblPr>
      <w:tblStyleRowBandSize w:val="1"/>
      <w:tblStyleColBandSize w:val="1"/>
      <w:tblBorders>
        <w:top w:val="single" w:sz="24" w:space="0" w:color="A02B93" w:themeColor="accent5"/>
        <w:left w:val="single" w:sz="4" w:space="0" w:color="4EA72E" w:themeColor="accent6"/>
        <w:bottom w:val="single" w:sz="4" w:space="0" w:color="4EA72E" w:themeColor="accent6"/>
        <w:right w:val="single" w:sz="4" w:space="0" w:color="4EA72E" w:themeColor="accent6"/>
        <w:insideH w:val="single" w:sz="4" w:space="0" w:color="FFFFFF" w:themeColor="background1"/>
        <w:insideV w:val="single" w:sz="4" w:space="0" w:color="FFFFFF" w:themeColor="background1"/>
      </w:tblBorders>
    </w:tblPr>
    <w:tcPr>
      <w:shd w:val="clear" w:color="auto" w:fill="ECF8E8" w:themeFill="accent6" w:themeFillTint="19"/>
    </w:tcPr>
    <w:tblStylePr w:type="firstRow">
      <w:rPr>
        <w:b/>
        <w:bCs/>
      </w:rPr>
      <w:tblPr/>
      <w:tcPr>
        <w:tcBorders>
          <w:top w:val="nil"/>
          <w:left w:val="nil"/>
          <w:bottom w:val="single" w:sz="24" w:space="0" w:color="A02B93"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E641B" w:themeFill="accent6" w:themeFillShade="99"/>
      </w:tcPr>
    </w:tblStylePr>
    <w:tblStylePr w:type="firstCol">
      <w:rPr>
        <w:color w:val="FFFFFF" w:themeColor="background1"/>
      </w:rPr>
      <w:tblPr/>
      <w:tcPr>
        <w:tcBorders>
          <w:top w:val="nil"/>
          <w:left w:val="nil"/>
          <w:bottom w:val="nil"/>
          <w:right w:val="nil"/>
          <w:insideH w:val="single" w:sz="4" w:space="0" w:color="2E641B" w:themeColor="accent6" w:themeShade="99"/>
          <w:insideV w:val="nil"/>
        </w:tcBorders>
        <w:shd w:val="clear" w:color="auto" w:fill="2E641B"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2E641B" w:themeFill="accent6" w:themeFillShade="99"/>
      </w:tcPr>
    </w:tblStylePr>
    <w:tblStylePr w:type="band1Vert">
      <w:tblPr/>
      <w:tcPr>
        <w:shd w:val="clear" w:color="auto" w:fill="B3E5A1" w:themeFill="accent6" w:themeFillTint="66"/>
      </w:tcPr>
    </w:tblStylePr>
    <w:tblStylePr w:type="band1Horz">
      <w:tblPr/>
      <w:tcPr>
        <w:shd w:val="clear" w:color="auto" w:fill="A0DF8A" w:themeFill="accent6" w:themeFillTint="7F"/>
      </w:tcPr>
    </w:tblStylePr>
    <w:tblStylePr w:type="neCell">
      <w:rPr>
        <w:color w:val="000000" w:themeColor="text1"/>
      </w:rPr>
    </w:tblStylePr>
    <w:tblStylePr w:type="nwCell">
      <w:rPr>
        <w:color w:val="000000" w:themeColor="text1"/>
      </w:rPr>
    </w:tblStylePr>
  </w:style>
  <w:style w:type="table" w:styleId="DarkList">
    <w:name w:val="Dark List"/>
    <w:basedOn w:val="TableNormal"/>
    <w:uiPriority w:val="70"/>
    <w:semiHidden/>
    <w:unhideWhenUsed/>
    <w:rsid w:val="00C30033"/>
    <w:pPr>
      <w:spacing w:after="0" w:line="240" w:lineRule="auto"/>
    </w:pPr>
    <w:rPr>
      <w:color w:val="FFFFFF" w:themeColor="background1"/>
      <w:kern w:val="0"/>
      <w:sz w:val="22"/>
      <w:szCs w:val="22"/>
      <w:lang w:val="en-GB"/>
      <w14:ligatures w14:val="none"/>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sid w:val="00C30033"/>
    <w:pPr>
      <w:spacing w:after="0" w:line="240" w:lineRule="auto"/>
    </w:pPr>
    <w:rPr>
      <w:color w:val="FFFFFF" w:themeColor="background1"/>
      <w:kern w:val="0"/>
      <w:sz w:val="22"/>
      <w:szCs w:val="22"/>
      <w:lang w:val="en-GB"/>
      <w14:ligatures w14:val="none"/>
    </w:rPr>
    <w:tblPr>
      <w:tblStyleRowBandSize w:val="1"/>
      <w:tblStyleColBandSize w:val="1"/>
    </w:tblPr>
    <w:tcPr>
      <w:shd w:val="clear" w:color="auto" w:fill="156082"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A2F4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0F476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0F4761" w:themeFill="accent1" w:themeFillShade="BF"/>
      </w:tcPr>
    </w:tblStylePr>
    <w:tblStylePr w:type="band1Vert">
      <w:tblPr/>
      <w:tcPr>
        <w:tcBorders>
          <w:top w:val="nil"/>
          <w:left w:val="nil"/>
          <w:bottom w:val="nil"/>
          <w:right w:val="nil"/>
          <w:insideH w:val="nil"/>
          <w:insideV w:val="nil"/>
        </w:tcBorders>
        <w:shd w:val="clear" w:color="auto" w:fill="0F4761" w:themeFill="accent1" w:themeFillShade="BF"/>
      </w:tcPr>
    </w:tblStylePr>
    <w:tblStylePr w:type="band1Horz">
      <w:tblPr/>
      <w:tcPr>
        <w:tcBorders>
          <w:top w:val="nil"/>
          <w:left w:val="nil"/>
          <w:bottom w:val="nil"/>
          <w:right w:val="nil"/>
          <w:insideH w:val="nil"/>
          <w:insideV w:val="nil"/>
        </w:tcBorders>
        <w:shd w:val="clear" w:color="auto" w:fill="0F4761" w:themeFill="accent1" w:themeFillShade="BF"/>
      </w:tcPr>
    </w:tblStylePr>
  </w:style>
  <w:style w:type="table" w:styleId="DarkList-Accent2">
    <w:name w:val="Dark List Accent 2"/>
    <w:basedOn w:val="TableNormal"/>
    <w:uiPriority w:val="70"/>
    <w:semiHidden/>
    <w:unhideWhenUsed/>
    <w:rsid w:val="00C30033"/>
    <w:pPr>
      <w:spacing w:after="0" w:line="240" w:lineRule="auto"/>
    </w:pPr>
    <w:rPr>
      <w:color w:val="FFFFFF" w:themeColor="background1"/>
      <w:kern w:val="0"/>
      <w:sz w:val="22"/>
      <w:szCs w:val="22"/>
      <w:lang w:val="en-GB"/>
      <w14:ligatures w14:val="none"/>
    </w:rPr>
    <w:tblPr>
      <w:tblStyleRowBandSize w:val="1"/>
      <w:tblStyleColBandSize w:val="1"/>
    </w:tblPr>
    <w:tcPr>
      <w:shd w:val="clear" w:color="auto" w:fill="E97132"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340D"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BF4E1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BF4E14" w:themeFill="accent2" w:themeFillShade="BF"/>
      </w:tcPr>
    </w:tblStylePr>
    <w:tblStylePr w:type="band1Vert">
      <w:tblPr/>
      <w:tcPr>
        <w:tcBorders>
          <w:top w:val="nil"/>
          <w:left w:val="nil"/>
          <w:bottom w:val="nil"/>
          <w:right w:val="nil"/>
          <w:insideH w:val="nil"/>
          <w:insideV w:val="nil"/>
        </w:tcBorders>
        <w:shd w:val="clear" w:color="auto" w:fill="BF4E14" w:themeFill="accent2" w:themeFillShade="BF"/>
      </w:tcPr>
    </w:tblStylePr>
    <w:tblStylePr w:type="band1Horz">
      <w:tblPr/>
      <w:tcPr>
        <w:tcBorders>
          <w:top w:val="nil"/>
          <w:left w:val="nil"/>
          <w:bottom w:val="nil"/>
          <w:right w:val="nil"/>
          <w:insideH w:val="nil"/>
          <w:insideV w:val="nil"/>
        </w:tcBorders>
        <w:shd w:val="clear" w:color="auto" w:fill="BF4E14" w:themeFill="accent2" w:themeFillShade="BF"/>
      </w:tcPr>
    </w:tblStylePr>
  </w:style>
  <w:style w:type="table" w:styleId="DarkList-Accent3">
    <w:name w:val="Dark List Accent 3"/>
    <w:basedOn w:val="TableNormal"/>
    <w:uiPriority w:val="70"/>
    <w:semiHidden/>
    <w:unhideWhenUsed/>
    <w:rsid w:val="00C30033"/>
    <w:pPr>
      <w:spacing w:after="0" w:line="240" w:lineRule="auto"/>
    </w:pPr>
    <w:rPr>
      <w:color w:val="FFFFFF" w:themeColor="background1"/>
      <w:kern w:val="0"/>
      <w:sz w:val="22"/>
      <w:szCs w:val="22"/>
      <w:lang w:val="en-GB"/>
      <w14:ligatures w14:val="none"/>
    </w:rPr>
    <w:tblPr>
      <w:tblStyleRowBandSize w:val="1"/>
      <w:tblStyleColBandSize w:val="1"/>
    </w:tblPr>
    <w:tcPr>
      <w:shd w:val="clear" w:color="auto" w:fill="196B24"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C3511"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124F1A"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124F1A" w:themeFill="accent3" w:themeFillShade="BF"/>
      </w:tcPr>
    </w:tblStylePr>
    <w:tblStylePr w:type="band1Vert">
      <w:tblPr/>
      <w:tcPr>
        <w:tcBorders>
          <w:top w:val="nil"/>
          <w:left w:val="nil"/>
          <w:bottom w:val="nil"/>
          <w:right w:val="nil"/>
          <w:insideH w:val="nil"/>
          <w:insideV w:val="nil"/>
        </w:tcBorders>
        <w:shd w:val="clear" w:color="auto" w:fill="124F1A" w:themeFill="accent3" w:themeFillShade="BF"/>
      </w:tcPr>
    </w:tblStylePr>
    <w:tblStylePr w:type="band1Horz">
      <w:tblPr/>
      <w:tcPr>
        <w:tcBorders>
          <w:top w:val="nil"/>
          <w:left w:val="nil"/>
          <w:bottom w:val="nil"/>
          <w:right w:val="nil"/>
          <w:insideH w:val="nil"/>
          <w:insideV w:val="nil"/>
        </w:tcBorders>
        <w:shd w:val="clear" w:color="auto" w:fill="124F1A" w:themeFill="accent3" w:themeFillShade="BF"/>
      </w:tcPr>
    </w:tblStylePr>
  </w:style>
  <w:style w:type="table" w:styleId="DarkList-Accent4">
    <w:name w:val="Dark List Accent 4"/>
    <w:basedOn w:val="TableNormal"/>
    <w:uiPriority w:val="70"/>
    <w:semiHidden/>
    <w:unhideWhenUsed/>
    <w:rsid w:val="00C30033"/>
    <w:pPr>
      <w:spacing w:after="0" w:line="240" w:lineRule="auto"/>
    </w:pPr>
    <w:rPr>
      <w:color w:val="FFFFFF" w:themeColor="background1"/>
      <w:kern w:val="0"/>
      <w:sz w:val="22"/>
      <w:szCs w:val="22"/>
      <w:lang w:val="en-GB"/>
      <w14:ligatures w14:val="none"/>
    </w:rPr>
    <w:tblPr>
      <w:tblStyleRowBandSize w:val="1"/>
      <w:tblStyleColBandSize w:val="1"/>
    </w:tblPr>
    <w:tcPr>
      <w:shd w:val="clear" w:color="auto" w:fill="0F9ED5"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74E69"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0B769F"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0B769F" w:themeFill="accent4" w:themeFillShade="BF"/>
      </w:tcPr>
    </w:tblStylePr>
    <w:tblStylePr w:type="band1Vert">
      <w:tblPr/>
      <w:tcPr>
        <w:tcBorders>
          <w:top w:val="nil"/>
          <w:left w:val="nil"/>
          <w:bottom w:val="nil"/>
          <w:right w:val="nil"/>
          <w:insideH w:val="nil"/>
          <w:insideV w:val="nil"/>
        </w:tcBorders>
        <w:shd w:val="clear" w:color="auto" w:fill="0B769F" w:themeFill="accent4" w:themeFillShade="BF"/>
      </w:tcPr>
    </w:tblStylePr>
    <w:tblStylePr w:type="band1Horz">
      <w:tblPr/>
      <w:tcPr>
        <w:tcBorders>
          <w:top w:val="nil"/>
          <w:left w:val="nil"/>
          <w:bottom w:val="nil"/>
          <w:right w:val="nil"/>
          <w:insideH w:val="nil"/>
          <w:insideV w:val="nil"/>
        </w:tcBorders>
        <w:shd w:val="clear" w:color="auto" w:fill="0B769F" w:themeFill="accent4" w:themeFillShade="BF"/>
      </w:tcPr>
    </w:tblStylePr>
  </w:style>
  <w:style w:type="table" w:styleId="DarkList-Accent5">
    <w:name w:val="Dark List Accent 5"/>
    <w:basedOn w:val="TableNormal"/>
    <w:uiPriority w:val="70"/>
    <w:semiHidden/>
    <w:unhideWhenUsed/>
    <w:rsid w:val="00C30033"/>
    <w:pPr>
      <w:spacing w:after="0" w:line="240" w:lineRule="auto"/>
    </w:pPr>
    <w:rPr>
      <w:color w:val="FFFFFF" w:themeColor="background1"/>
      <w:kern w:val="0"/>
      <w:sz w:val="22"/>
      <w:szCs w:val="22"/>
      <w:lang w:val="en-GB"/>
      <w14:ligatures w14:val="none"/>
    </w:rPr>
    <w:tblPr>
      <w:tblStyleRowBandSize w:val="1"/>
      <w:tblStyleColBandSize w:val="1"/>
    </w:tblPr>
    <w:tcPr>
      <w:shd w:val="clear" w:color="auto" w:fill="A02B93"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F154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77206D"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77206D" w:themeFill="accent5" w:themeFillShade="BF"/>
      </w:tcPr>
    </w:tblStylePr>
    <w:tblStylePr w:type="band1Vert">
      <w:tblPr/>
      <w:tcPr>
        <w:tcBorders>
          <w:top w:val="nil"/>
          <w:left w:val="nil"/>
          <w:bottom w:val="nil"/>
          <w:right w:val="nil"/>
          <w:insideH w:val="nil"/>
          <w:insideV w:val="nil"/>
        </w:tcBorders>
        <w:shd w:val="clear" w:color="auto" w:fill="77206D" w:themeFill="accent5" w:themeFillShade="BF"/>
      </w:tcPr>
    </w:tblStylePr>
    <w:tblStylePr w:type="band1Horz">
      <w:tblPr/>
      <w:tcPr>
        <w:tcBorders>
          <w:top w:val="nil"/>
          <w:left w:val="nil"/>
          <w:bottom w:val="nil"/>
          <w:right w:val="nil"/>
          <w:insideH w:val="nil"/>
          <w:insideV w:val="nil"/>
        </w:tcBorders>
        <w:shd w:val="clear" w:color="auto" w:fill="77206D" w:themeFill="accent5" w:themeFillShade="BF"/>
      </w:tcPr>
    </w:tblStylePr>
  </w:style>
  <w:style w:type="table" w:styleId="DarkList-Accent6">
    <w:name w:val="Dark List Accent 6"/>
    <w:basedOn w:val="TableNormal"/>
    <w:uiPriority w:val="70"/>
    <w:semiHidden/>
    <w:unhideWhenUsed/>
    <w:rsid w:val="00C30033"/>
    <w:pPr>
      <w:spacing w:after="0" w:line="240" w:lineRule="auto"/>
    </w:pPr>
    <w:rPr>
      <w:color w:val="FFFFFF" w:themeColor="background1"/>
      <w:kern w:val="0"/>
      <w:sz w:val="22"/>
      <w:szCs w:val="22"/>
      <w:lang w:val="en-GB"/>
      <w14:ligatures w14:val="none"/>
    </w:rPr>
    <w:tblPr>
      <w:tblStyleRowBandSize w:val="1"/>
      <w:tblStyleColBandSize w:val="1"/>
    </w:tblPr>
    <w:tcPr>
      <w:shd w:val="clear" w:color="auto" w:fill="4EA72E"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65317"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3A7C22"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3A7C22" w:themeFill="accent6" w:themeFillShade="BF"/>
      </w:tcPr>
    </w:tblStylePr>
    <w:tblStylePr w:type="band1Vert">
      <w:tblPr/>
      <w:tcPr>
        <w:tcBorders>
          <w:top w:val="nil"/>
          <w:left w:val="nil"/>
          <w:bottom w:val="nil"/>
          <w:right w:val="nil"/>
          <w:insideH w:val="nil"/>
          <w:insideV w:val="nil"/>
        </w:tcBorders>
        <w:shd w:val="clear" w:color="auto" w:fill="3A7C22" w:themeFill="accent6" w:themeFillShade="BF"/>
      </w:tcPr>
    </w:tblStylePr>
    <w:tblStylePr w:type="band1Horz">
      <w:tblPr/>
      <w:tcPr>
        <w:tcBorders>
          <w:top w:val="nil"/>
          <w:left w:val="nil"/>
          <w:bottom w:val="nil"/>
          <w:right w:val="nil"/>
          <w:insideH w:val="nil"/>
          <w:insideV w:val="nil"/>
        </w:tcBorders>
        <w:shd w:val="clear" w:color="auto" w:fill="3A7C22" w:themeFill="accent6" w:themeFillShade="BF"/>
      </w:tcPr>
    </w:tblStylePr>
  </w:style>
  <w:style w:type="table" w:styleId="GridTable1Light">
    <w:name w:val="Grid Table 1 Light"/>
    <w:basedOn w:val="TableNormal"/>
    <w:uiPriority w:val="46"/>
    <w:rsid w:val="00C30033"/>
    <w:pPr>
      <w:spacing w:before="160" w:after="0" w:line="240" w:lineRule="auto"/>
    </w:pPr>
    <w:rPr>
      <w:kern w:val="0"/>
      <w:sz w:val="22"/>
      <w:szCs w:val="22"/>
      <w:lang w:val="en-GB"/>
      <w14:ligatures w14:val="none"/>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C30033"/>
    <w:pPr>
      <w:spacing w:before="160" w:after="0" w:line="240" w:lineRule="auto"/>
    </w:pPr>
    <w:rPr>
      <w:kern w:val="0"/>
      <w:sz w:val="22"/>
      <w:szCs w:val="22"/>
      <w:lang w:val="en-GB"/>
      <w14:ligatures w14:val="none"/>
    </w:rPr>
    <w:tblPr>
      <w:tblStyleRowBandSize w:val="1"/>
      <w:tblStyleColBandSize w:val="1"/>
      <w:tblBorders>
        <w:top w:val="single" w:sz="4" w:space="0" w:color="83CAEB" w:themeColor="accent1" w:themeTint="66"/>
        <w:left w:val="single" w:sz="4" w:space="0" w:color="83CAEB" w:themeColor="accent1" w:themeTint="66"/>
        <w:bottom w:val="single" w:sz="4" w:space="0" w:color="83CAEB" w:themeColor="accent1" w:themeTint="66"/>
        <w:right w:val="single" w:sz="4" w:space="0" w:color="83CAEB" w:themeColor="accent1" w:themeTint="66"/>
        <w:insideH w:val="single" w:sz="4" w:space="0" w:color="83CAEB" w:themeColor="accent1" w:themeTint="66"/>
        <w:insideV w:val="single" w:sz="4" w:space="0" w:color="83CAEB" w:themeColor="accent1" w:themeTint="66"/>
      </w:tblBorders>
    </w:tblPr>
    <w:tblStylePr w:type="firstRow">
      <w:rPr>
        <w:b/>
        <w:bCs/>
      </w:rPr>
      <w:tblPr/>
      <w:tcPr>
        <w:tcBorders>
          <w:bottom w:val="single" w:sz="12" w:space="0" w:color="45B0E1" w:themeColor="accent1" w:themeTint="99"/>
        </w:tcBorders>
      </w:tcPr>
    </w:tblStylePr>
    <w:tblStylePr w:type="lastRow">
      <w:rPr>
        <w:b/>
        <w:bCs/>
      </w:rPr>
      <w:tblPr/>
      <w:tcPr>
        <w:tcBorders>
          <w:top w:val="double" w:sz="2" w:space="0" w:color="45B0E1"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C30033"/>
    <w:pPr>
      <w:spacing w:before="160" w:after="0" w:line="240" w:lineRule="auto"/>
    </w:pPr>
    <w:rPr>
      <w:kern w:val="0"/>
      <w:sz w:val="22"/>
      <w:szCs w:val="22"/>
      <w:lang w:val="en-GB"/>
      <w14:ligatures w14:val="none"/>
    </w:rPr>
    <w:tblPr>
      <w:tblStyleRowBandSize w:val="1"/>
      <w:tblStyleColBandSize w:val="1"/>
      <w:tblBorders>
        <w:top w:val="single" w:sz="4" w:space="0" w:color="F6C5AC" w:themeColor="accent2" w:themeTint="66"/>
        <w:left w:val="single" w:sz="4" w:space="0" w:color="F6C5AC" w:themeColor="accent2" w:themeTint="66"/>
        <w:bottom w:val="single" w:sz="4" w:space="0" w:color="F6C5AC" w:themeColor="accent2" w:themeTint="66"/>
        <w:right w:val="single" w:sz="4" w:space="0" w:color="F6C5AC" w:themeColor="accent2" w:themeTint="66"/>
        <w:insideH w:val="single" w:sz="4" w:space="0" w:color="F6C5AC" w:themeColor="accent2" w:themeTint="66"/>
        <w:insideV w:val="single" w:sz="4" w:space="0" w:color="F6C5AC" w:themeColor="accent2" w:themeTint="66"/>
      </w:tblBorders>
    </w:tblPr>
    <w:tblStylePr w:type="firstRow">
      <w:rPr>
        <w:b/>
        <w:bCs/>
      </w:rPr>
      <w:tblPr/>
      <w:tcPr>
        <w:tcBorders>
          <w:bottom w:val="single" w:sz="12" w:space="0" w:color="F1A983" w:themeColor="accent2" w:themeTint="99"/>
        </w:tcBorders>
      </w:tcPr>
    </w:tblStylePr>
    <w:tblStylePr w:type="lastRow">
      <w:rPr>
        <w:b/>
        <w:bCs/>
      </w:rPr>
      <w:tblPr/>
      <w:tcPr>
        <w:tcBorders>
          <w:top w:val="double" w:sz="2" w:space="0" w:color="F1A983"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C30033"/>
    <w:pPr>
      <w:spacing w:before="160" w:after="0" w:line="240" w:lineRule="auto"/>
    </w:pPr>
    <w:rPr>
      <w:kern w:val="0"/>
      <w:sz w:val="22"/>
      <w:szCs w:val="22"/>
      <w:lang w:val="en-GB"/>
      <w14:ligatures w14:val="none"/>
    </w:rPr>
    <w:tblPr>
      <w:tblStyleRowBandSize w:val="1"/>
      <w:tblStyleColBandSize w:val="1"/>
      <w:tblBorders>
        <w:top w:val="single" w:sz="4" w:space="0" w:color="84E290" w:themeColor="accent3" w:themeTint="66"/>
        <w:left w:val="single" w:sz="4" w:space="0" w:color="84E290" w:themeColor="accent3" w:themeTint="66"/>
        <w:bottom w:val="single" w:sz="4" w:space="0" w:color="84E290" w:themeColor="accent3" w:themeTint="66"/>
        <w:right w:val="single" w:sz="4" w:space="0" w:color="84E290" w:themeColor="accent3" w:themeTint="66"/>
        <w:insideH w:val="single" w:sz="4" w:space="0" w:color="84E290" w:themeColor="accent3" w:themeTint="66"/>
        <w:insideV w:val="single" w:sz="4" w:space="0" w:color="84E290" w:themeColor="accent3" w:themeTint="66"/>
      </w:tblBorders>
    </w:tblPr>
    <w:tblStylePr w:type="firstRow">
      <w:rPr>
        <w:b/>
        <w:bCs/>
      </w:rPr>
      <w:tblPr/>
      <w:tcPr>
        <w:tcBorders>
          <w:bottom w:val="single" w:sz="12" w:space="0" w:color="47D459" w:themeColor="accent3" w:themeTint="99"/>
        </w:tcBorders>
      </w:tcPr>
    </w:tblStylePr>
    <w:tblStylePr w:type="lastRow">
      <w:rPr>
        <w:b/>
        <w:bCs/>
      </w:rPr>
      <w:tblPr/>
      <w:tcPr>
        <w:tcBorders>
          <w:top w:val="double" w:sz="2" w:space="0" w:color="47D459"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C30033"/>
    <w:pPr>
      <w:spacing w:before="160" w:after="0" w:line="240" w:lineRule="auto"/>
    </w:pPr>
    <w:rPr>
      <w:kern w:val="0"/>
      <w:sz w:val="22"/>
      <w:szCs w:val="22"/>
      <w:lang w:val="en-GB"/>
      <w14:ligatures w14:val="none"/>
    </w:rPr>
    <w:tblPr>
      <w:tblStyleRowBandSize w:val="1"/>
      <w:tblStyleColBandSize w:val="1"/>
      <w:tblBorders>
        <w:top w:val="single" w:sz="4" w:space="0" w:color="95DCF7" w:themeColor="accent4" w:themeTint="66"/>
        <w:left w:val="single" w:sz="4" w:space="0" w:color="95DCF7" w:themeColor="accent4" w:themeTint="66"/>
        <w:bottom w:val="single" w:sz="4" w:space="0" w:color="95DCF7" w:themeColor="accent4" w:themeTint="66"/>
        <w:right w:val="single" w:sz="4" w:space="0" w:color="95DCF7" w:themeColor="accent4" w:themeTint="66"/>
        <w:insideH w:val="single" w:sz="4" w:space="0" w:color="95DCF7" w:themeColor="accent4" w:themeTint="66"/>
        <w:insideV w:val="single" w:sz="4" w:space="0" w:color="95DCF7" w:themeColor="accent4" w:themeTint="66"/>
      </w:tblBorders>
    </w:tblPr>
    <w:tblStylePr w:type="firstRow">
      <w:rPr>
        <w:b/>
        <w:bCs/>
      </w:rPr>
      <w:tblPr/>
      <w:tcPr>
        <w:tcBorders>
          <w:bottom w:val="single" w:sz="12" w:space="0" w:color="60CAF3" w:themeColor="accent4" w:themeTint="99"/>
        </w:tcBorders>
      </w:tcPr>
    </w:tblStylePr>
    <w:tblStylePr w:type="lastRow">
      <w:rPr>
        <w:b/>
        <w:bCs/>
      </w:rPr>
      <w:tblPr/>
      <w:tcPr>
        <w:tcBorders>
          <w:top w:val="double" w:sz="2" w:space="0" w:color="60CAF3"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C30033"/>
    <w:pPr>
      <w:spacing w:before="160" w:after="0" w:line="240" w:lineRule="auto"/>
    </w:pPr>
    <w:rPr>
      <w:kern w:val="0"/>
      <w:sz w:val="22"/>
      <w:szCs w:val="22"/>
      <w:lang w:val="en-GB"/>
      <w14:ligatures w14:val="none"/>
    </w:rPr>
    <w:tblPr>
      <w:tblStyleRowBandSize w:val="1"/>
      <w:tblStyleColBandSize w:val="1"/>
      <w:tblBorders>
        <w:top w:val="single" w:sz="4" w:space="0" w:color="E59EDC" w:themeColor="accent5" w:themeTint="66"/>
        <w:left w:val="single" w:sz="4" w:space="0" w:color="E59EDC" w:themeColor="accent5" w:themeTint="66"/>
        <w:bottom w:val="single" w:sz="4" w:space="0" w:color="E59EDC" w:themeColor="accent5" w:themeTint="66"/>
        <w:right w:val="single" w:sz="4" w:space="0" w:color="E59EDC" w:themeColor="accent5" w:themeTint="66"/>
        <w:insideH w:val="single" w:sz="4" w:space="0" w:color="E59EDC" w:themeColor="accent5" w:themeTint="66"/>
        <w:insideV w:val="single" w:sz="4" w:space="0" w:color="E59EDC" w:themeColor="accent5" w:themeTint="66"/>
      </w:tblBorders>
    </w:tblPr>
    <w:tblStylePr w:type="firstRow">
      <w:rPr>
        <w:b/>
        <w:bCs/>
      </w:rPr>
      <w:tblPr/>
      <w:tcPr>
        <w:tcBorders>
          <w:bottom w:val="single" w:sz="12" w:space="0" w:color="D86DCB" w:themeColor="accent5" w:themeTint="99"/>
        </w:tcBorders>
      </w:tcPr>
    </w:tblStylePr>
    <w:tblStylePr w:type="lastRow">
      <w:rPr>
        <w:b/>
        <w:bCs/>
      </w:rPr>
      <w:tblPr/>
      <w:tcPr>
        <w:tcBorders>
          <w:top w:val="double" w:sz="2" w:space="0" w:color="D86DCB"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C30033"/>
    <w:pPr>
      <w:spacing w:before="160" w:after="0" w:line="240" w:lineRule="auto"/>
    </w:pPr>
    <w:rPr>
      <w:kern w:val="0"/>
      <w:sz w:val="22"/>
      <w:szCs w:val="22"/>
      <w:lang w:val="en-GB"/>
      <w14:ligatures w14:val="none"/>
    </w:rPr>
    <w:tblPr>
      <w:tblStyleRowBandSize w:val="1"/>
      <w:tblStyleColBandSize w:val="1"/>
      <w:tblBorders>
        <w:top w:val="single" w:sz="4" w:space="0" w:color="B3E5A1" w:themeColor="accent6" w:themeTint="66"/>
        <w:left w:val="single" w:sz="4" w:space="0" w:color="B3E5A1" w:themeColor="accent6" w:themeTint="66"/>
        <w:bottom w:val="single" w:sz="4" w:space="0" w:color="B3E5A1" w:themeColor="accent6" w:themeTint="66"/>
        <w:right w:val="single" w:sz="4" w:space="0" w:color="B3E5A1" w:themeColor="accent6" w:themeTint="66"/>
        <w:insideH w:val="single" w:sz="4" w:space="0" w:color="B3E5A1" w:themeColor="accent6" w:themeTint="66"/>
        <w:insideV w:val="single" w:sz="4" w:space="0" w:color="B3E5A1" w:themeColor="accent6" w:themeTint="66"/>
      </w:tblBorders>
    </w:tblPr>
    <w:tblStylePr w:type="firstRow">
      <w:rPr>
        <w:b/>
        <w:bCs/>
      </w:rPr>
      <w:tblPr/>
      <w:tcPr>
        <w:tcBorders>
          <w:bottom w:val="single" w:sz="12" w:space="0" w:color="8DD873" w:themeColor="accent6" w:themeTint="99"/>
        </w:tcBorders>
      </w:tcPr>
    </w:tblStylePr>
    <w:tblStylePr w:type="lastRow">
      <w:rPr>
        <w:b/>
        <w:bCs/>
      </w:rPr>
      <w:tblPr/>
      <w:tcPr>
        <w:tcBorders>
          <w:top w:val="double" w:sz="2" w:space="0" w:color="8DD873" w:themeColor="accent6" w:themeTint="99"/>
        </w:tcBorders>
      </w:tcPr>
    </w:tblStylePr>
    <w:tblStylePr w:type="firstCol">
      <w:rPr>
        <w:b/>
        <w:bCs/>
      </w:rPr>
    </w:tblStylePr>
    <w:tblStylePr w:type="lastCol">
      <w:rPr>
        <w:b/>
        <w:bCs/>
      </w:rPr>
    </w:tblStylePr>
  </w:style>
  <w:style w:type="table" w:styleId="GridTable2">
    <w:name w:val="Grid Table 2"/>
    <w:basedOn w:val="TableNormal"/>
    <w:uiPriority w:val="47"/>
    <w:rsid w:val="00C30033"/>
    <w:pPr>
      <w:spacing w:before="160" w:after="0" w:line="240" w:lineRule="auto"/>
    </w:pPr>
    <w:rPr>
      <w:kern w:val="0"/>
      <w:sz w:val="22"/>
      <w:szCs w:val="22"/>
      <w:lang w:val="en-GB"/>
      <w14:ligatures w14:val="none"/>
    </w:r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1">
    <w:name w:val="Grid Table 2 Accent 1"/>
    <w:basedOn w:val="TableNormal"/>
    <w:uiPriority w:val="47"/>
    <w:rsid w:val="00C30033"/>
    <w:pPr>
      <w:spacing w:before="160" w:after="0" w:line="240" w:lineRule="auto"/>
    </w:pPr>
    <w:rPr>
      <w:kern w:val="0"/>
      <w:sz w:val="22"/>
      <w:szCs w:val="22"/>
      <w:lang w:val="en-GB"/>
      <w14:ligatures w14:val="none"/>
    </w:rPr>
    <w:tblPr>
      <w:tblStyleRowBandSize w:val="1"/>
      <w:tblStyleColBandSize w:val="1"/>
      <w:tblBorders>
        <w:top w:val="single" w:sz="2" w:space="0" w:color="45B0E1" w:themeColor="accent1" w:themeTint="99"/>
        <w:bottom w:val="single" w:sz="2" w:space="0" w:color="45B0E1" w:themeColor="accent1" w:themeTint="99"/>
        <w:insideH w:val="single" w:sz="2" w:space="0" w:color="45B0E1" w:themeColor="accent1" w:themeTint="99"/>
        <w:insideV w:val="single" w:sz="2" w:space="0" w:color="45B0E1" w:themeColor="accent1" w:themeTint="99"/>
      </w:tblBorders>
    </w:tblPr>
    <w:tblStylePr w:type="firstRow">
      <w:rPr>
        <w:b/>
        <w:bCs/>
      </w:rPr>
      <w:tblPr/>
      <w:tcPr>
        <w:tcBorders>
          <w:top w:val="nil"/>
          <w:bottom w:val="single" w:sz="12" w:space="0" w:color="45B0E1" w:themeColor="accent1" w:themeTint="99"/>
          <w:insideH w:val="nil"/>
          <w:insideV w:val="nil"/>
        </w:tcBorders>
        <w:shd w:val="clear" w:color="auto" w:fill="FFFFFF" w:themeFill="background1"/>
      </w:tcPr>
    </w:tblStylePr>
    <w:tblStylePr w:type="lastRow">
      <w:rPr>
        <w:b/>
        <w:bCs/>
      </w:rPr>
      <w:tblPr/>
      <w:tcPr>
        <w:tcBorders>
          <w:top w:val="double" w:sz="2" w:space="0" w:color="45B0E1"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styleId="GridTable2-Accent2">
    <w:name w:val="Grid Table 2 Accent 2"/>
    <w:basedOn w:val="TableNormal"/>
    <w:uiPriority w:val="47"/>
    <w:rsid w:val="00C30033"/>
    <w:pPr>
      <w:spacing w:before="160" w:after="0" w:line="240" w:lineRule="auto"/>
    </w:pPr>
    <w:rPr>
      <w:kern w:val="0"/>
      <w:sz w:val="22"/>
      <w:szCs w:val="22"/>
      <w:lang w:val="en-GB"/>
      <w14:ligatures w14:val="none"/>
    </w:rPr>
    <w:tblPr>
      <w:tblStyleRowBandSize w:val="1"/>
      <w:tblStyleColBandSize w:val="1"/>
      <w:tblBorders>
        <w:top w:val="single" w:sz="2" w:space="0" w:color="F1A983" w:themeColor="accent2" w:themeTint="99"/>
        <w:bottom w:val="single" w:sz="2" w:space="0" w:color="F1A983" w:themeColor="accent2" w:themeTint="99"/>
        <w:insideH w:val="single" w:sz="2" w:space="0" w:color="F1A983" w:themeColor="accent2" w:themeTint="99"/>
        <w:insideV w:val="single" w:sz="2" w:space="0" w:color="F1A983" w:themeColor="accent2" w:themeTint="99"/>
      </w:tblBorders>
    </w:tblPr>
    <w:tblStylePr w:type="firstRow">
      <w:rPr>
        <w:b/>
        <w:bCs/>
      </w:rPr>
      <w:tblPr/>
      <w:tcPr>
        <w:tcBorders>
          <w:top w:val="nil"/>
          <w:bottom w:val="single" w:sz="12" w:space="0" w:color="F1A983" w:themeColor="accent2" w:themeTint="99"/>
          <w:insideH w:val="nil"/>
          <w:insideV w:val="nil"/>
        </w:tcBorders>
        <w:shd w:val="clear" w:color="auto" w:fill="FFFFFF" w:themeFill="background1"/>
      </w:tcPr>
    </w:tblStylePr>
    <w:tblStylePr w:type="lastRow">
      <w:rPr>
        <w:b/>
        <w:bCs/>
      </w:rPr>
      <w:tblPr/>
      <w:tcPr>
        <w:tcBorders>
          <w:top w:val="double" w:sz="2" w:space="0" w:color="F1A9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AE2D5" w:themeFill="accent2" w:themeFillTint="33"/>
      </w:tcPr>
    </w:tblStylePr>
    <w:tblStylePr w:type="band1Horz">
      <w:tblPr/>
      <w:tcPr>
        <w:shd w:val="clear" w:color="auto" w:fill="FAE2D5" w:themeFill="accent2" w:themeFillTint="33"/>
      </w:tcPr>
    </w:tblStylePr>
  </w:style>
  <w:style w:type="table" w:styleId="GridTable2-Accent3">
    <w:name w:val="Grid Table 2 Accent 3"/>
    <w:basedOn w:val="TableNormal"/>
    <w:uiPriority w:val="47"/>
    <w:rsid w:val="00C30033"/>
    <w:pPr>
      <w:spacing w:before="160" w:after="0" w:line="240" w:lineRule="auto"/>
    </w:pPr>
    <w:rPr>
      <w:kern w:val="0"/>
      <w:sz w:val="22"/>
      <w:szCs w:val="22"/>
      <w:lang w:val="en-GB"/>
      <w14:ligatures w14:val="none"/>
    </w:rPr>
    <w:tblPr>
      <w:tblStyleRowBandSize w:val="1"/>
      <w:tblStyleColBandSize w:val="1"/>
      <w:tblBorders>
        <w:top w:val="single" w:sz="2" w:space="0" w:color="47D459" w:themeColor="accent3" w:themeTint="99"/>
        <w:bottom w:val="single" w:sz="2" w:space="0" w:color="47D459" w:themeColor="accent3" w:themeTint="99"/>
        <w:insideH w:val="single" w:sz="2" w:space="0" w:color="47D459" w:themeColor="accent3" w:themeTint="99"/>
        <w:insideV w:val="single" w:sz="2" w:space="0" w:color="47D459" w:themeColor="accent3" w:themeTint="99"/>
      </w:tblBorders>
    </w:tblPr>
    <w:tblStylePr w:type="firstRow">
      <w:rPr>
        <w:b/>
        <w:bCs/>
      </w:rPr>
      <w:tblPr/>
      <w:tcPr>
        <w:tcBorders>
          <w:top w:val="nil"/>
          <w:bottom w:val="single" w:sz="12" w:space="0" w:color="47D459" w:themeColor="accent3" w:themeTint="99"/>
          <w:insideH w:val="nil"/>
          <w:insideV w:val="nil"/>
        </w:tcBorders>
        <w:shd w:val="clear" w:color="auto" w:fill="FFFFFF" w:themeFill="background1"/>
      </w:tcPr>
    </w:tblStylePr>
    <w:tblStylePr w:type="lastRow">
      <w:rPr>
        <w:b/>
        <w:bCs/>
      </w:rPr>
      <w:tblPr/>
      <w:tcPr>
        <w:tcBorders>
          <w:top w:val="double" w:sz="2" w:space="0" w:color="47D45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styleId="GridTable2-Accent4">
    <w:name w:val="Grid Table 2 Accent 4"/>
    <w:basedOn w:val="TableNormal"/>
    <w:uiPriority w:val="47"/>
    <w:rsid w:val="00C30033"/>
    <w:pPr>
      <w:spacing w:before="160" w:after="0" w:line="240" w:lineRule="auto"/>
    </w:pPr>
    <w:rPr>
      <w:kern w:val="0"/>
      <w:sz w:val="22"/>
      <w:szCs w:val="22"/>
      <w:lang w:val="en-GB"/>
      <w14:ligatures w14:val="none"/>
    </w:rPr>
    <w:tblPr>
      <w:tblStyleRowBandSize w:val="1"/>
      <w:tblStyleColBandSize w:val="1"/>
      <w:tblBorders>
        <w:top w:val="single" w:sz="2" w:space="0" w:color="60CAF3" w:themeColor="accent4" w:themeTint="99"/>
        <w:bottom w:val="single" w:sz="2" w:space="0" w:color="60CAF3" w:themeColor="accent4" w:themeTint="99"/>
        <w:insideH w:val="single" w:sz="2" w:space="0" w:color="60CAF3" w:themeColor="accent4" w:themeTint="99"/>
        <w:insideV w:val="single" w:sz="2" w:space="0" w:color="60CAF3" w:themeColor="accent4" w:themeTint="99"/>
      </w:tblBorders>
    </w:tblPr>
    <w:tblStylePr w:type="firstRow">
      <w:rPr>
        <w:b/>
        <w:bCs/>
      </w:rPr>
      <w:tblPr/>
      <w:tcPr>
        <w:tcBorders>
          <w:top w:val="nil"/>
          <w:bottom w:val="single" w:sz="12" w:space="0" w:color="60CAF3" w:themeColor="accent4" w:themeTint="99"/>
          <w:insideH w:val="nil"/>
          <w:insideV w:val="nil"/>
        </w:tcBorders>
        <w:shd w:val="clear" w:color="auto" w:fill="FFFFFF" w:themeFill="background1"/>
      </w:tcPr>
    </w:tblStylePr>
    <w:tblStylePr w:type="lastRow">
      <w:rPr>
        <w:b/>
        <w:bCs/>
      </w:rPr>
      <w:tblPr/>
      <w:tcPr>
        <w:tcBorders>
          <w:top w:val="double" w:sz="2" w:space="0" w:color="60CAF3"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styleId="GridTable2-Accent5">
    <w:name w:val="Grid Table 2 Accent 5"/>
    <w:basedOn w:val="TableNormal"/>
    <w:uiPriority w:val="47"/>
    <w:rsid w:val="00C30033"/>
    <w:pPr>
      <w:spacing w:before="160" w:after="0" w:line="240" w:lineRule="auto"/>
    </w:pPr>
    <w:rPr>
      <w:kern w:val="0"/>
      <w:sz w:val="22"/>
      <w:szCs w:val="22"/>
      <w:lang w:val="en-GB"/>
      <w14:ligatures w14:val="none"/>
    </w:rPr>
    <w:tblPr>
      <w:tblStyleRowBandSize w:val="1"/>
      <w:tblStyleColBandSize w:val="1"/>
      <w:tblBorders>
        <w:top w:val="single" w:sz="2" w:space="0" w:color="D86DCB" w:themeColor="accent5" w:themeTint="99"/>
        <w:bottom w:val="single" w:sz="2" w:space="0" w:color="D86DCB" w:themeColor="accent5" w:themeTint="99"/>
        <w:insideH w:val="single" w:sz="2" w:space="0" w:color="D86DCB" w:themeColor="accent5" w:themeTint="99"/>
        <w:insideV w:val="single" w:sz="2" w:space="0" w:color="D86DCB" w:themeColor="accent5" w:themeTint="99"/>
      </w:tblBorders>
    </w:tblPr>
    <w:tblStylePr w:type="firstRow">
      <w:rPr>
        <w:b/>
        <w:bCs/>
      </w:rPr>
      <w:tblPr/>
      <w:tcPr>
        <w:tcBorders>
          <w:top w:val="nil"/>
          <w:bottom w:val="single" w:sz="12" w:space="0" w:color="D86DCB" w:themeColor="accent5" w:themeTint="99"/>
          <w:insideH w:val="nil"/>
          <w:insideV w:val="nil"/>
        </w:tcBorders>
        <w:shd w:val="clear" w:color="auto" w:fill="FFFFFF" w:themeFill="background1"/>
      </w:tcPr>
    </w:tblStylePr>
    <w:tblStylePr w:type="lastRow">
      <w:rPr>
        <w:b/>
        <w:bCs/>
      </w:rPr>
      <w:tblPr/>
      <w:tcPr>
        <w:tcBorders>
          <w:top w:val="double" w:sz="2" w:space="0" w:color="D86DCB"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CEED" w:themeFill="accent5" w:themeFillTint="33"/>
      </w:tcPr>
    </w:tblStylePr>
    <w:tblStylePr w:type="band1Horz">
      <w:tblPr/>
      <w:tcPr>
        <w:shd w:val="clear" w:color="auto" w:fill="F2CEED" w:themeFill="accent5" w:themeFillTint="33"/>
      </w:tcPr>
    </w:tblStylePr>
  </w:style>
  <w:style w:type="table" w:styleId="GridTable2-Accent6">
    <w:name w:val="Grid Table 2 Accent 6"/>
    <w:basedOn w:val="TableNormal"/>
    <w:uiPriority w:val="47"/>
    <w:rsid w:val="00C30033"/>
    <w:pPr>
      <w:spacing w:before="160" w:after="0" w:line="240" w:lineRule="auto"/>
    </w:pPr>
    <w:rPr>
      <w:kern w:val="0"/>
      <w:sz w:val="22"/>
      <w:szCs w:val="22"/>
      <w:lang w:val="en-GB"/>
      <w14:ligatures w14:val="none"/>
    </w:rPr>
    <w:tblPr>
      <w:tblStyleRowBandSize w:val="1"/>
      <w:tblStyleColBandSize w:val="1"/>
      <w:tblBorders>
        <w:top w:val="single" w:sz="2" w:space="0" w:color="8DD873" w:themeColor="accent6" w:themeTint="99"/>
        <w:bottom w:val="single" w:sz="2" w:space="0" w:color="8DD873" w:themeColor="accent6" w:themeTint="99"/>
        <w:insideH w:val="single" w:sz="2" w:space="0" w:color="8DD873" w:themeColor="accent6" w:themeTint="99"/>
        <w:insideV w:val="single" w:sz="2" w:space="0" w:color="8DD873" w:themeColor="accent6" w:themeTint="99"/>
      </w:tblBorders>
    </w:tblPr>
    <w:tblStylePr w:type="firstRow">
      <w:rPr>
        <w:b/>
        <w:bCs/>
      </w:rPr>
      <w:tblPr/>
      <w:tcPr>
        <w:tcBorders>
          <w:top w:val="nil"/>
          <w:bottom w:val="single" w:sz="12" w:space="0" w:color="8DD873" w:themeColor="accent6" w:themeTint="99"/>
          <w:insideH w:val="nil"/>
          <w:insideV w:val="nil"/>
        </w:tcBorders>
        <w:shd w:val="clear" w:color="auto" w:fill="FFFFFF" w:themeFill="background1"/>
      </w:tcPr>
    </w:tblStylePr>
    <w:tblStylePr w:type="lastRow">
      <w:rPr>
        <w:b/>
        <w:bCs/>
      </w:rPr>
      <w:tblPr/>
      <w:tcPr>
        <w:tcBorders>
          <w:top w:val="double" w:sz="2" w:space="0" w:color="8DD873"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F2D0" w:themeFill="accent6" w:themeFillTint="33"/>
      </w:tcPr>
    </w:tblStylePr>
    <w:tblStylePr w:type="band1Horz">
      <w:tblPr/>
      <w:tcPr>
        <w:shd w:val="clear" w:color="auto" w:fill="D9F2D0" w:themeFill="accent6" w:themeFillTint="33"/>
      </w:tcPr>
    </w:tblStylePr>
  </w:style>
  <w:style w:type="table" w:styleId="GridTable3">
    <w:name w:val="Grid Table 3"/>
    <w:basedOn w:val="TableNormal"/>
    <w:uiPriority w:val="48"/>
    <w:rsid w:val="00C30033"/>
    <w:pPr>
      <w:spacing w:before="160" w:after="0" w:line="240" w:lineRule="auto"/>
    </w:pPr>
    <w:rPr>
      <w:kern w:val="0"/>
      <w:sz w:val="22"/>
      <w:szCs w:val="22"/>
      <w:lang w:val="en-GB"/>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1">
    <w:name w:val="Grid Table 3 Accent 1"/>
    <w:basedOn w:val="TableNormal"/>
    <w:uiPriority w:val="48"/>
    <w:rsid w:val="00C30033"/>
    <w:pPr>
      <w:spacing w:before="160" w:after="0" w:line="240" w:lineRule="auto"/>
    </w:pPr>
    <w:rPr>
      <w:kern w:val="0"/>
      <w:sz w:val="22"/>
      <w:szCs w:val="22"/>
      <w:lang w:val="en-GB"/>
      <w14:ligatures w14:val="none"/>
    </w:r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1E4F5" w:themeFill="accent1" w:themeFillTint="33"/>
      </w:tcPr>
    </w:tblStylePr>
    <w:tblStylePr w:type="band1Horz">
      <w:tblPr/>
      <w:tcPr>
        <w:shd w:val="clear" w:color="auto" w:fill="C1E4F5" w:themeFill="accent1" w:themeFillTint="33"/>
      </w:tcPr>
    </w:tblStylePr>
    <w:tblStylePr w:type="neCell">
      <w:tblPr/>
      <w:tcPr>
        <w:tcBorders>
          <w:bottom w:val="single" w:sz="4" w:space="0" w:color="45B0E1" w:themeColor="accent1" w:themeTint="99"/>
        </w:tcBorders>
      </w:tcPr>
    </w:tblStylePr>
    <w:tblStylePr w:type="nwCell">
      <w:tblPr/>
      <w:tcPr>
        <w:tcBorders>
          <w:bottom w:val="single" w:sz="4" w:space="0" w:color="45B0E1" w:themeColor="accent1" w:themeTint="99"/>
        </w:tcBorders>
      </w:tcPr>
    </w:tblStylePr>
    <w:tblStylePr w:type="seCell">
      <w:tblPr/>
      <w:tcPr>
        <w:tcBorders>
          <w:top w:val="single" w:sz="4" w:space="0" w:color="45B0E1" w:themeColor="accent1" w:themeTint="99"/>
        </w:tcBorders>
      </w:tcPr>
    </w:tblStylePr>
    <w:tblStylePr w:type="swCell">
      <w:tblPr/>
      <w:tcPr>
        <w:tcBorders>
          <w:top w:val="single" w:sz="4" w:space="0" w:color="45B0E1" w:themeColor="accent1" w:themeTint="99"/>
        </w:tcBorders>
      </w:tcPr>
    </w:tblStylePr>
  </w:style>
  <w:style w:type="table" w:styleId="GridTable3-Accent2">
    <w:name w:val="Grid Table 3 Accent 2"/>
    <w:basedOn w:val="TableNormal"/>
    <w:uiPriority w:val="48"/>
    <w:rsid w:val="00C30033"/>
    <w:pPr>
      <w:spacing w:before="160" w:after="0" w:line="240" w:lineRule="auto"/>
    </w:pPr>
    <w:rPr>
      <w:kern w:val="0"/>
      <w:sz w:val="22"/>
      <w:szCs w:val="22"/>
      <w:lang w:val="en-GB"/>
      <w14:ligatures w14:val="none"/>
    </w:rPr>
    <w:tblPr>
      <w:tblStyleRowBandSize w:val="1"/>
      <w:tblStyleColBandSize w:val="1"/>
      <w:tblBorders>
        <w:top w:val="single" w:sz="4" w:space="0" w:color="F1A983" w:themeColor="accent2" w:themeTint="99"/>
        <w:left w:val="single" w:sz="4" w:space="0" w:color="F1A983" w:themeColor="accent2" w:themeTint="99"/>
        <w:bottom w:val="single" w:sz="4" w:space="0" w:color="F1A983" w:themeColor="accent2" w:themeTint="99"/>
        <w:right w:val="single" w:sz="4" w:space="0" w:color="F1A983" w:themeColor="accent2" w:themeTint="99"/>
        <w:insideH w:val="single" w:sz="4" w:space="0" w:color="F1A983" w:themeColor="accent2" w:themeTint="99"/>
        <w:insideV w:val="single" w:sz="4" w:space="0" w:color="F1A9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AE2D5" w:themeFill="accent2" w:themeFillTint="33"/>
      </w:tcPr>
    </w:tblStylePr>
    <w:tblStylePr w:type="band1Horz">
      <w:tblPr/>
      <w:tcPr>
        <w:shd w:val="clear" w:color="auto" w:fill="FAE2D5" w:themeFill="accent2" w:themeFillTint="33"/>
      </w:tcPr>
    </w:tblStylePr>
    <w:tblStylePr w:type="neCell">
      <w:tblPr/>
      <w:tcPr>
        <w:tcBorders>
          <w:bottom w:val="single" w:sz="4" w:space="0" w:color="F1A983" w:themeColor="accent2" w:themeTint="99"/>
        </w:tcBorders>
      </w:tcPr>
    </w:tblStylePr>
    <w:tblStylePr w:type="nwCell">
      <w:tblPr/>
      <w:tcPr>
        <w:tcBorders>
          <w:bottom w:val="single" w:sz="4" w:space="0" w:color="F1A983" w:themeColor="accent2" w:themeTint="99"/>
        </w:tcBorders>
      </w:tcPr>
    </w:tblStylePr>
    <w:tblStylePr w:type="seCell">
      <w:tblPr/>
      <w:tcPr>
        <w:tcBorders>
          <w:top w:val="single" w:sz="4" w:space="0" w:color="F1A983" w:themeColor="accent2" w:themeTint="99"/>
        </w:tcBorders>
      </w:tcPr>
    </w:tblStylePr>
    <w:tblStylePr w:type="swCell">
      <w:tblPr/>
      <w:tcPr>
        <w:tcBorders>
          <w:top w:val="single" w:sz="4" w:space="0" w:color="F1A983" w:themeColor="accent2" w:themeTint="99"/>
        </w:tcBorders>
      </w:tcPr>
    </w:tblStylePr>
  </w:style>
  <w:style w:type="table" w:styleId="GridTable3-Accent3">
    <w:name w:val="Grid Table 3 Accent 3"/>
    <w:basedOn w:val="TableNormal"/>
    <w:uiPriority w:val="48"/>
    <w:rsid w:val="00C30033"/>
    <w:pPr>
      <w:spacing w:before="160" w:after="0" w:line="240" w:lineRule="auto"/>
    </w:pPr>
    <w:rPr>
      <w:kern w:val="0"/>
      <w:sz w:val="22"/>
      <w:szCs w:val="22"/>
      <w:lang w:val="en-GB"/>
      <w14:ligatures w14:val="none"/>
    </w:rPr>
    <w:tblPr>
      <w:tblStyleRowBandSize w:val="1"/>
      <w:tblStyleColBandSize w:val="1"/>
      <w:tblBorders>
        <w:top w:val="single" w:sz="4" w:space="0" w:color="47D459" w:themeColor="accent3" w:themeTint="99"/>
        <w:left w:val="single" w:sz="4" w:space="0" w:color="47D459" w:themeColor="accent3" w:themeTint="99"/>
        <w:bottom w:val="single" w:sz="4" w:space="0" w:color="47D459" w:themeColor="accent3" w:themeTint="99"/>
        <w:right w:val="single" w:sz="4" w:space="0" w:color="47D459" w:themeColor="accent3" w:themeTint="99"/>
        <w:insideH w:val="single" w:sz="4" w:space="0" w:color="47D459" w:themeColor="accent3" w:themeTint="99"/>
        <w:insideV w:val="single" w:sz="4" w:space="0" w:color="47D45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1F0C7" w:themeFill="accent3" w:themeFillTint="33"/>
      </w:tcPr>
    </w:tblStylePr>
    <w:tblStylePr w:type="band1Horz">
      <w:tblPr/>
      <w:tcPr>
        <w:shd w:val="clear" w:color="auto" w:fill="C1F0C7" w:themeFill="accent3" w:themeFillTint="33"/>
      </w:tcPr>
    </w:tblStylePr>
    <w:tblStylePr w:type="neCell">
      <w:tblPr/>
      <w:tcPr>
        <w:tcBorders>
          <w:bottom w:val="single" w:sz="4" w:space="0" w:color="47D459" w:themeColor="accent3" w:themeTint="99"/>
        </w:tcBorders>
      </w:tcPr>
    </w:tblStylePr>
    <w:tblStylePr w:type="nwCell">
      <w:tblPr/>
      <w:tcPr>
        <w:tcBorders>
          <w:bottom w:val="single" w:sz="4" w:space="0" w:color="47D459" w:themeColor="accent3" w:themeTint="99"/>
        </w:tcBorders>
      </w:tcPr>
    </w:tblStylePr>
    <w:tblStylePr w:type="seCell">
      <w:tblPr/>
      <w:tcPr>
        <w:tcBorders>
          <w:top w:val="single" w:sz="4" w:space="0" w:color="47D459" w:themeColor="accent3" w:themeTint="99"/>
        </w:tcBorders>
      </w:tcPr>
    </w:tblStylePr>
    <w:tblStylePr w:type="swCell">
      <w:tblPr/>
      <w:tcPr>
        <w:tcBorders>
          <w:top w:val="single" w:sz="4" w:space="0" w:color="47D459" w:themeColor="accent3" w:themeTint="99"/>
        </w:tcBorders>
      </w:tcPr>
    </w:tblStylePr>
  </w:style>
  <w:style w:type="table" w:styleId="GridTable3-Accent4">
    <w:name w:val="Grid Table 3 Accent 4"/>
    <w:basedOn w:val="TableNormal"/>
    <w:uiPriority w:val="48"/>
    <w:rsid w:val="00C30033"/>
    <w:pPr>
      <w:spacing w:before="160" w:after="0" w:line="240" w:lineRule="auto"/>
    </w:pPr>
    <w:rPr>
      <w:kern w:val="0"/>
      <w:sz w:val="22"/>
      <w:szCs w:val="22"/>
      <w:lang w:val="en-GB"/>
      <w14:ligatures w14:val="none"/>
    </w:rPr>
    <w:tblPr>
      <w:tblStyleRowBandSize w:val="1"/>
      <w:tblStyleColBandSize w:val="1"/>
      <w:tblBorders>
        <w:top w:val="single" w:sz="4" w:space="0" w:color="60CAF3" w:themeColor="accent4" w:themeTint="99"/>
        <w:left w:val="single" w:sz="4" w:space="0" w:color="60CAF3" w:themeColor="accent4" w:themeTint="99"/>
        <w:bottom w:val="single" w:sz="4" w:space="0" w:color="60CAF3" w:themeColor="accent4" w:themeTint="99"/>
        <w:right w:val="single" w:sz="4" w:space="0" w:color="60CAF3" w:themeColor="accent4" w:themeTint="99"/>
        <w:insideH w:val="single" w:sz="4" w:space="0" w:color="60CAF3" w:themeColor="accent4" w:themeTint="99"/>
        <w:insideV w:val="single" w:sz="4" w:space="0" w:color="60CAF3"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AEDFB" w:themeFill="accent4" w:themeFillTint="33"/>
      </w:tcPr>
    </w:tblStylePr>
    <w:tblStylePr w:type="band1Horz">
      <w:tblPr/>
      <w:tcPr>
        <w:shd w:val="clear" w:color="auto" w:fill="CAEDFB" w:themeFill="accent4" w:themeFillTint="33"/>
      </w:tcPr>
    </w:tblStylePr>
    <w:tblStylePr w:type="neCell">
      <w:tblPr/>
      <w:tcPr>
        <w:tcBorders>
          <w:bottom w:val="single" w:sz="4" w:space="0" w:color="60CAF3" w:themeColor="accent4" w:themeTint="99"/>
        </w:tcBorders>
      </w:tcPr>
    </w:tblStylePr>
    <w:tblStylePr w:type="nwCell">
      <w:tblPr/>
      <w:tcPr>
        <w:tcBorders>
          <w:bottom w:val="single" w:sz="4" w:space="0" w:color="60CAF3" w:themeColor="accent4" w:themeTint="99"/>
        </w:tcBorders>
      </w:tcPr>
    </w:tblStylePr>
    <w:tblStylePr w:type="seCell">
      <w:tblPr/>
      <w:tcPr>
        <w:tcBorders>
          <w:top w:val="single" w:sz="4" w:space="0" w:color="60CAF3" w:themeColor="accent4" w:themeTint="99"/>
        </w:tcBorders>
      </w:tcPr>
    </w:tblStylePr>
    <w:tblStylePr w:type="swCell">
      <w:tblPr/>
      <w:tcPr>
        <w:tcBorders>
          <w:top w:val="single" w:sz="4" w:space="0" w:color="60CAF3" w:themeColor="accent4" w:themeTint="99"/>
        </w:tcBorders>
      </w:tcPr>
    </w:tblStylePr>
  </w:style>
  <w:style w:type="table" w:styleId="GridTable3-Accent5">
    <w:name w:val="Grid Table 3 Accent 5"/>
    <w:basedOn w:val="TableNormal"/>
    <w:uiPriority w:val="48"/>
    <w:rsid w:val="00C30033"/>
    <w:pPr>
      <w:spacing w:before="160" w:after="0" w:line="240" w:lineRule="auto"/>
    </w:pPr>
    <w:rPr>
      <w:kern w:val="0"/>
      <w:sz w:val="22"/>
      <w:szCs w:val="22"/>
      <w:lang w:val="en-GB"/>
      <w14:ligatures w14:val="none"/>
    </w:rPr>
    <w:tblPr>
      <w:tblStyleRowBandSize w:val="1"/>
      <w:tblStyleColBandSize w:val="1"/>
      <w:tblBorders>
        <w:top w:val="single" w:sz="4" w:space="0" w:color="D86DCB" w:themeColor="accent5" w:themeTint="99"/>
        <w:left w:val="single" w:sz="4" w:space="0" w:color="D86DCB" w:themeColor="accent5" w:themeTint="99"/>
        <w:bottom w:val="single" w:sz="4" w:space="0" w:color="D86DCB" w:themeColor="accent5" w:themeTint="99"/>
        <w:right w:val="single" w:sz="4" w:space="0" w:color="D86DCB" w:themeColor="accent5" w:themeTint="99"/>
        <w:insideH w:val="single" w:sz="4" w:space="0" w:color="D86DCB" w:themeColor="accent5" w:themeTint="99"/>
        <w:insideV w:val="single" w:sz="4" w:space="0" w:color="D86DC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CEED" w:themeFill="accent5" w:themeFillTint="33"/>
      </w:tcPr>
    </w:tblStylePr>
    <w:tblStylePr w:type="band1Horz">
      <w:tblPr/>
      <w:tcPr>
        <w:shd w:val="clear" w:color="auto" w:fill="F2CEED" w:themeFill="accent5" w:themeFillTint="33"/>
      </w:tcPr>
    </w:tblStylePr>
    <w:tblStylePr w:type="neCell">
      <w:tblPr/>
      <w:tcPr>
        <w:tcBorders>
          <w:bottom w:val="single" w:sz="4" w:space="0" w:color="D86DCB" w:themeColor="accent5" w:themeTint="99"/>
        </w:tcBorders>
      </w:tcPr>
    </w:tblStylePr>
    <w:tblStylePr w:type="nwCell">
      <w:tblPr/>
      <w:tcPr>
        <w:tcBorders>
          <w:bottom w:val="single" w:sz="4" w:space="0" w:color="D86DCB" w:themeColor="accent5" w:themeTint="99"/>
        </w:tcBorders>
      </w:tcPr>
    </w:tblStylePr>
    <w:tblStylePr w:type="seCell">
      <w:tblPr/>
      <w:tcPr>
        <w:tcBorders>
          <w:top w:val="single" w:sz="4" w:space="0" w:color="D86DCB" w:themeColor="accent5" w:themeTint="99"/>
        </w:tcBorders>
      </w:tcPr>
    </w:tblStylePr>
    <w:tblStylePr w:type="swCell">
      <w:tblPr/>
      <w:tcPr>
        <w:tcBorders>
          <w:top w:val="single" w:sz="4" w:space="0" w:color="D86DCB" w:themeColor="accent5" w:themeTint="99"/>
        </w:tcBorders>
      </w:tcPr>
    </w:tblStylePr>
  </w:style>
  <w:style w:type="table" w:styleId="GridTable3-Accent6">
    <w:name w:val="Grid Table 3 Accent 6"/>
    <w:basedOn w:val="TableNormal"/>
    <w:uiPriority w:val="48"/>
    <w:rsid w:val="00C30033"/>
    <w:pPr>
      <w:spacing w:before="160" w:after="0" w:line="240" w:lineRule="auto"/>
    </w:pPr>
    <w:rPr>
      <w:kern w:val="0"/>
      <w:sz w:val="22"/>
      <w:szCs w:val="22"/>
      <w:lang w:val="en-GB"/>
      <w14:ligatures w14:val="none"/>
    </w:rPr>
    <w:tblPr>
      <w:tblStyleRowBandSize w:val="1"/>
      <w:tblStyleColBandSize w:val="1"/>
      <w:tblBorders>
        <w:top w:val="single" w:sz="4" w:space="0" w:color="8DD873" w:themeColor="accent6" w:themeTint="99"/>
        <w:left w:val="single" w:sz="4" w:space="0" w:color="8DD873" w:themeColor="accent6" w:themeTint="99"/>
        <w:bottom w:val="single" w:sz="4" w:space="0" w:color="8DD873" w:themeColor="accent6" w:themeTint="99"/>
        <w:right w:val="single" w:sz="4" w:space="0" w:color="8DD873" w:themeColor="accent6" w:themeTint="99"/>
        <w:insideH w:val="single" w:sz="4" w:space="0" w:color="8DD873" w:themeColor="accent6" w:themeTint="99"/>
        <w:insideV w:val="single" w:sz="4" w:space="0" w:color="8DD873"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F2D0" w:themeFill="accent6" w:themeFillTint="33"/>
      </w:tcPr>
    </w:tblStylePr>
    <w:tblStylePr w:type="band1Horz">
      <w:tblPr/>
      <w:tcPr>
        <w:shd w:val="clear" w:color="auto" w:fill="D9F2D0" w:themeFill="accent6" w:themeFillTint="33"/>
      </w:tcPr>
    </w:tblStylePr>
    <w:tblStylePr w:type="neCell">
      <w:tblPr/>
      <w:tcPr>
        <w:tcBorders>
          <w:bottom w:val="single" w:sz="4" w:space="0" w:color="8DD873" w:themeColor="accent6" w:themeTint="99"/>
        </w:tcBorders>
      </w:tcPr>
    </w:tblStylePr>
    <w:tblStylePr w:type="nwCell">
      <w:tblPr/>
      <w:tcPr>
        <w:tcBorders>
          <w:bottom w:val="single" w:sz="4" w:space="0" w:color="8DD873" w:themeColor="accent6" w:themeTint="99"/>
        </w:tcBorders>
      </w:tcPr>
    </w:tblStylePr>
    <w:tblStylePr w:type="seCell">
      <w:tblPr/>
      <w:tcPr>
        <w:tcBorders>
          <w:top w:val="single" w:sz="4" w:space="0" w:color="8DD873" w:themeColor="accent6" w:themeTint="99"/>
        </w:tcBorders>
      </w:tcPr>
    </w:tblStylePr>
    <w:tblStylePr w:type="swCell">
      <w:tblPr/>
      <w:tcPr>
        <w:tcBorders>
          <w:top w:val="single" w:sz="4" w:space="0" w:color="8DD873" w:themeColor="accent6" w:themeTint="99"/>
        </w:tcBorders>
      </w:tcPr>
    </w:tblStylePr>
  </w:style>
  <w:style w:type="table" w:styleId="GridTable4">
    <w:name w:val="Grid Table 4"/>
    <w:basedOn w:val="TableNormal"/>
    <w:uiPriority w:val="49"/>
    <w:rsid w:val="00C30033"/>
    <w:pPr>
      <w:spacing w:before="160" w:after="0" w:line="240" w:lineRule="auto"/>
    </w:pPr>
    <w:rPr>
      <w:kern w:val="0"/>
      <w:sz w:val="22"/>
      <w:szCs w:val="22"/>
      <w:lang w:val="en-GB"/>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C30033"/>
    <w:pPr>
      <w:spacing w:before="160" w:after="0" w:line="240" w:lineRule="auto"/>
    </w:pPr>
    <w:rPr>
      <w:kern w:val="0"/>
      <w:sz w:val="22"/>
      <w:szCs w:val="22"/>
      <w:lang w:val="en-GB"/>
      <w14:ligatures w14:val="none"/>
    </w:r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color w:val="FFFFFF" w:themeColor="background1"/>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insideH w:val="nil"/>
          <w:insideV w:val="nil"/>
        </w:tcBorders>
        <w:shd w:val="clear" w:color="auto" w:fill="156082" w:themeFill="accent1"/>
      </w:tcPr>
    </w:tblStylePr>
    <w:tblStylePr w:type="lastRow">
      <w:rPr>
        <w:b/>
        <w:bCs/>
      </w:rPr>
      <w:tblPr/>
      <w:tcPr>
        <w:tcBorders>
          <w:top w:val="double" w:sz="4" w:space="0" w:color="156082" w:themeColor="accent1"/>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styleId="GridTable4-Accent2">
    <w:name w:val="Grid Table 4 Accent 2"/>
    <w:basedOn w:val="TableNormal"/>
    <w:uiPriority w:val="49"/>
    <w:rsid w:val="00C30033"/>
    <w:pPr>
      <w:spacing w:before="160" w:after="0" w:line="240" w:lineRule="auto"/>
    </w:pPr>
    <w:rPr>
      <w:kern w:val="0"/>
      <w:sz w:val="22"/>
      <w:szCs w:val="22"/>
      <w:lang w:val="en-GB"/>
      <w14:ligatures w14:val="none"/>
    </w:rPr>
    <w:tblPr>
      <w:tblStyleRowBandSize w:val="1"/>
      <w:tblStyleColBandSize w:val="1"/>
      <w:tblBorders>
        <w:top w:val="single" w:sz="4" w:space="0" w:color="F1A983" w:themeColor="accent2" w:themeTint="99"/>
        <w:left w:val="single" w:sz="4" w:space="0" w:color="F1A983" w:themeColor="accent2" w:themeTint="99"/>
        <w:bottom w:val="single" w:sz="4" w:space="0" w:color="F1A983" w:themeColor="accent2" w:themeTint="99"/>
        <w:right w:val="single" w:sz="4" w:space="0" w:color="F1A983" w:themeColor="accent2" w:themeTint="99"/>
        <w:insideH w:val="single" w:sz="4" w:space="0" w:color="F1A983" w:themeColor="accent2" w:themeTint="99"/>
        <w:insideV w:val="single" w:sz="4" w:space="0" w:color="F1A983" w:themeColor="accent2" w:themeTint="99"/>
      </w:tblBorders>
    </w:tblPr>
    <w:tblStylePr w:type="firstRow">
      <w:rPr>
        <w:b/>
        <w:bCs/>
        <w:color w:val="FFFFFF" w:themeColor="background1"/>
      </w:rPr>
      <w:tblPr/>
      <w:tcPr>
        <w:tcBorders>
          <w:top w:val="single" w:sz="4" w:space="0" w:color="E97132" w:themeColor="accent2"/>
          <w:left w:val="single" w:sz="4" w:space="0" w:color="E97132" w:themeColor="accent2"/>
          <w:bottom w:val="single" w:sz="4" w:space="0" w:color="E97132" w:themeColor="accent2"/>
          <w:right w:val="single" w:sz="4" w:space="0" w:color="E97132" w:themeColor="accent2"/>
          <w:insideH w:val="nil"/>
          <w:insideV w:val="nil"/>
        </w:tcBorders>
        <w:shd w:val="clear" w:color="auto" w:fill="E97132" w:themeFill="accent2"/>
      </w:tcPr>
    </w:tblStylePr>
    <w:tblStylePr w:type="lastRow">
      <w:rPr>
        <w:b/>
        <w:bCs/>
      </w:rPr>
      <w:tblPr/>
      <w:tcPr>
        <w:tcBorders>
          <w:top w:val="double" w:sz="4" w:space="0" w:color="E97132" w:themeColor="accent2"/>
        </w:tcBorders>
      </w:tcPr>
    </w:tblStylePr>
    <w:tblStylePr w:type="firstCol">
      <w:rPr>
        <w:b/>
        <w:bCs/>
      </w:rPr>
    </w:tblStylePr>
    <w:tblStylePr w:type="lastCol">
      <w:rPr>
        <w:b/>
        <w:bCs/>
      </w:rPr>
    </w:tblStylePr>
    <w:tblStylePr w:type="band1Vert">
      <w:tblPr/>
      <w:tcPr>
        <w:shd w:val="clear" w:color="auto" w:fill="FAE2D5" w:themeFill="accent2" w:themeFillTint="33"/>
      </w:tcPr>
    </w:tblStylePr>
    <w:tblStylePr w:type="band1Horz">
      <w:tblPr/>
      <w:tcPr>
        <w:shd w:val="clear" w:color="auto" w:fill="FAE2D5" w:themeFill="accent2" w:themeFillTint="33"/>
      </w:tcPr>
    </w:tblStylePr>
  </w:style>
  <w:style w:type="table" w:styleId="GridTable4-Accent3">
    <w:name w:val="Grid Table 4 Accent 3"/>
    <w:basedOn w:val="TableNormal"/>
    <w:uiPriority w:val="49"/>
    <w:rsid w:val="00C30033"/>
    <w:pPr>
      <w:spacing w:before="160" w:after="0" w:line="240" w:lineRule="auto"/>
    </w:pPr>
    <w:rPr>
      <w:kern w:val="0"/>
      <w:sz w:val="22"/>
      <w:szCs w:val="22"/>
      <w:lang w:val="en-GB"/>
      <w14:ligatures w14:val="none"/>
    </w:rPr>
    <w:tblPr>
      <w:tblStyleRowBandSize w:val="1"/>
      <w:tblStyleColBandSize w:val="1"/>
      <w:tblBorders>
        <w:top w:val="single" w:sz="4" w:space="0" w:color="47D459" w:themeColor="accent3" w:themeTint="99"/>
        <w:left w:val="single" w:sz="4" w:space="0" w:color="47D459" w:themeColor="accent3" w:themeTint="99"/>
        <w:bottom w:val="single" w:sz="4" w:space="0" w:color="47D459" w:themeColor="accent3" w:themeTint="99"/>
        <w:right w:val="single" w:sz="4" w:space="0" w:color="47D459" w:themeColor="accent3" w:themeTint="99"/>
        <w:insideH w:val="single" w:sz="4" w:space="0" w:color="47D459" w:themeColor="accent3" w:themeTint="99"/>
        <w:insideV w:val="single" w:sz="4" w:space="0" w:color="47D459" w:themeColor="accent3" w:themeTint="99"/>
      </w:tblBorders>
    </w:tblPr>
    <w:tblStylePr w:type="firstRow">
      <w:rPr>
        <w:b/>
        <w:bCs/>
        <w:color w:val="FFFFFF" w:themeColor="background1"/>
      </w:rPr>
      <w:tblPr/>
      <w:tcPr>
        <w:tcBorders>
          <w:top w:val="single" w:sz="4" w:space="0" w:color="196B24" w:themeColor="accent3"/>
          <w:left w:val="single" w:sz="4" w:space="0" w:color="196B24" w:themeColor="accent3"/>
          <w:bottom w:val="single" w:sz="4" w:space="0" w:color="196B24" w:themeColor="accent3"/>
          <w:right w:val="single" w:sz="4" w:space="0" w:color="196B24" w:themeColor="accent3"/>
          <w:insideH w:val="nil"/>
          <w:insideV w:val="nil"/>
        </w:tcBorders>
        <w:shd w:val="clear" w:color="auto" w:fill="196B24" w:themeFill="accent3"/>
      </w:tcPr>
    </w:tblStylePr>
    <w:tblStylePr w:type="lastRow">
      <w:rPr>
        <w:b/>
        <w:bCs/>
      </w:rPr>
      <w:tblPr/>
      <w:tcPr>
        <w:tcBorders>
          <w:top w:val="double" w:sz="4" w:space="0" w:color="196B24" w:themeColor="accent3"/>
        </w:tcBorders>
      </w:tc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styleId="GridTable4-Accent4">
    <w:name w:val="Grid Table 4 Accent 4"/>
    <w:basedOn w:val="TableNormal"/>
    <w:uiPriority w:val="49"/>
    <w:rsid w:val="00C30033"/>
    <w:pPr>
      <w:spacing w:before="160" w:after="0" w:line="240" w:lineRule="auto"/>
    </w:pPr>
    <w:rPr>
      <w:kern w:val="0"/>
      <w:sz w:val="22"/>
      <w:szCs w:val="22"/>
      <w:lang w:val="en-GB"/>
      <w14:ligatures w14:val="none"/>
    </w:rPr>
    <w:tblPr>
      <w:tblStyleRowBandSize w:val="1"/>
      <w:tblStyleColBandSize w:val="1"/>
      <w:tblBorders>
        <w:top w:val="single" w:sz="4" w:space="0" w:color="60CAF3" w:themeColor="accent4" w:themeTint="99"/>
        <w:left w:val="single" w:sz="4" w:space="0" w:color="60CAF3" w:themeColor="accent4" w:themeTint="99"/>
        <w:bottom w:val="single" w:sz="4" w:space="0" w:color="60CAF3" w:themeColor="accent4" w:themeTint="99"/>
        <w:right w:val="single" w:sz="4" w:space="0" w:color="60CAF3" w:themeColor="accent4" w:themeTint="99"/>
        <w:insideH w:val="single" w:sz="4" w:space="0" w:color="60CAF3" w:themeColor="accent4" w:themeTint="99"/>
        <w:insideV w:val="single" w:sz="4" w:space="0" w:color="60CAF3" w:themeColor="accent4" w:themeTint="99"/>
      </w:tblBorders>
    </w:tblPr>
    <w:tblStylePr w:type="firstRow">
      <w:rPr>
        <w:b/>
        <w:bCs/>
        <w:color w:val="FFFFFF" w:themeColor="background1"/>
      </w:rPr>
      <w:tblPr/>
      <w:tcPr>
        <w:tcBorders>
          <w:top w:val="single" w:sz="4" w:space="0" w:color="0F9ED5" w:themeColor="accent4"/>
          <w:left w:val="single" w:sz="4" w:space="0" w:color="0F9ED5" w:themeColor="accent4"/>
          <w:bottom w:val="single" w:sz="4" w:space="0" w:color="0F9ED5" w:themeColor="accent4"/>
          <w:right w:val="single" w:sz="4" w:space="0" w:color="0F9ED5" w:themeColor="accent4"/>
          <w:insideH w:val="nil"/>
          <w:insideV w:val="nil"/>
        </w:tcBorders>
        <w:shd w:val="clear" w:color="auto" w:fill="0F9ED5" w:themeFill="accent4"/>
      </w:tcPr>
    </w:tblStylePr>
    <w:tblStylePr w:type="lastRow">
      <w:rPr>
        <w:b/>
        <w:bCs/>
      </w:rPr>
      <w:tblPr/>
      <w:tcPr>
        <w:tcBorders>
          <w:top w:val="double" w:sz="4" w:space="0" w:color="0F9ED5" w:themeColor="accent4"/>
        </w:tcBorders>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styleId="GridTable4-Accent5">
    <w:name w:val="Grid Table 4 Accent 5"/>
    <w:basedOn w:val="TableNormal"/>
    <w:uiPriority w:val="49"/>
    <w:rsid w:val="00C30033"/>
    <w:pPr>
      <w:spacing w:before="160" w:after="0" w:line="240" w:lineRule="auto"/>
    </w:pPr>
    <w:rPr>
      <w:kern w:val="0"/>
      <w:sz w:val="22"/>
      <w:szCs w:val="22"/>
      <w:lang w:val="en-GB"/>
      <w14:ligatures w14:val="none"/>
    </w:rPr>
    <w:tblPr>
      <w:tblStyleRowBandSize w:val="1"/>
      <w:tblStyleColBandSize w:val="1"/>
      <w:tblBorders>
        <w:top w:val="single" w:sz="4" w:space="0" w:color="D86DCB" w:themeColor="accent5" w:themeTint="99"/>
        <w:left w:val="single" w:sz="4" w:space="0" w:color="D86DCB" w:themeColor="accent5" w:themeTint="99"/>
        <w:bottom w:val="single" w:sz="4" w:space="0" w:color="D86DCB" w:themeColor="accent5" w:themeTint="99"/>
        <w:right w:val="single" w:sz="4" w:space="0" w:color="D86DCB" w:themeColor="accent5" w:themeTint="99"/>
        <w:insideH w:val="single" w:sz="4" w:space="0" w:color="D86DCB" w:themeColor="accent5" w:themeTint="99"/>
        <w:insideV w:val="single" w:sz="4" w:space="0" w:color="D86DCB" w:themeColor="accent5" w:themeTint="99"/>
      </w:tblBorders>
    </w:tblPr>
    <w:tblStylePr w:type="firstRow">
      <w:rPr>
        <w:b/>
        <w:bCs/>
        <w:color w:val="FFFFFF" w:themeColor="background1"/>
      </w:rPr>
      <w:tblPr/>
      <w:tcPr>
        <w:tcBorders>
          <w:top w:val="single" w:sz="4" w:space="0" w:color="A02B93" w:themeColor="accent5"/>
          <w:left w:val="single" w:sz="4" w:space="0" w:color="A02B93" w:themeColor="accent5"/>
          <w:bottom w:val="single" w:sz="4" w:space="0" w:color="A02B93" w:themeColor="accent5"/>
          <w:right w:val="single" w:sz="4" w:space="0" w:color="A02B93" w:themeColor="accent5"/>
          <w:insideH w:val="nil"/>
          <w:insideV w:val="nil"/>
        </w:tcBorders>
        <w:shd w:val="clear" w:color="auto" w:fill="A02B93" w:themeFill="accent5"/>
      </w:tcPr>
    </w:tblStylePr>
    <w:tblStylePr w:type="lastRow">
      <w:rPr>
        <w:b/>
        <w:bCs/>
      </w:rPr>
      <w:tblPr/>
      <w:tcPr>
        <w:tcBorders>
          <w:top w:val="double" w:sz="4" w:space="0" w:color="A02B93" w:themeColor="accent5"/>
        </w:tcBorders>
      </w:tcPr>
    </w:tblStylePr>
    <w:tblStylePr w:type="firstCol">
      <w:rPr>
        <w:b/>
        <w:bCs/>
      </w:rPr>
    </w:tblStylePr>
    <w:tblStylePr w:type="lastCol">
      <w:rPr>
        <w:b/>
        <w:bCs/>
      </w:rPr>
    </w:tblStylePr>
    <w:tblStylePr w:type="band1Vert">
      <w:tblPr/>
      <w:tcPr>
        <w:shd w:val="clear" w:color="auto" w:fill="F2CEED" w:themeFill="accent5" w:themeFillTint="33"/>
      </w:tcPr>
    </w:tblStylePr>
    <w:tblStylePr w:type="band1Horz">
      <w:tblPr/>
      <w:tcPr>
        <w:shd w:val="clear" w:color="auto" w:fill="F2CEED" w:themeFill="accent5" w:themeFillTint="33"/>
      </w:tcPr>
    </w:tblStylePr>
  </w:style>
  <w:style w:type="table" w:styleId="GridTable4-Accent6">
    <w:name w:val="Grid Table 4 Accent 6"/>
    <w:basedOn w:val="TableNormal"/>
    <w:uiPriority w:val="49"/>
    <w:rsid w:val="00C30033"/>
    <w:pPr>
      <w:spacing w:before="160" w:after="0" w:line="240" w:lineRule="auto"/>
    </w:pPr>
    <w:rPr>
      <w:kern w:val="0"/>
      <w:sz w:val="22"/>
      <w:szCs w:val="22"/>
      <w:lang w:val="en-GB"/>
      <w14:ligatures w14:val="none"/>
    </w:rPr>
    <w:tblPr>
      <w:tblStyleRowBandSize w:val="1"/>
      <w:tblStyleColBandSize w:val="1"/>
      <w:tblBorders>
        <w:top w:val="single" w:sz="4" w:space="0" w:color="8DD873" w:themeColor="accent6" w:themeTint="99"/>
        <w:left w:val="single" w:sz="4" w:space="0" w:color="8DD873" w:themeColor="accent6" w:themeTint="99"/>
        <w:bottom w:val="single" w:sz="4" w:space="0" w:color="8DD873" w:themeColor="accent6" w:themeTint="99"/>
        <w:right w:val="single" w:sz="4" w:space="0" w:color="8DD873" w:themeColor="accent6" w:themeTint="99"/>
        <w:insideH w:val="single" w:sz="4" w:space="0" w:color="8DD873" w:themeColor="accent6" w:themeTint="99"/>
        <w:insideV w:val="single" w:sz="4" w:space="0" w:color="8DD873" w:themeColor="accent6" w:themeTint="99"/>
      </w:tblBorders>
    </w:tblPr>
    <w:tblStylePr w:type="firstRow">
      <w:rPr>
        <w:b/>
        <w:bCs/>
        <w:color w:val="FFFFFF" w:themeColor="background1"/>
      </w:rPr>
      <w:tblPr/>
      <w:tcPr>
        <w:tcBorders>
          <w:top w:val="single" w:sz="4" w:space="0" w:color="4EA72E" w:themeColor="accent6"/>
          <w:left w:val="single" w:sz="4" w:space="0" w:color="4EA72E" w:themeColor="accent6"/>
          <w:bottom w:val="single" w:sz="4" w:space="0" w:color="4EA72E" w:themeColor="accent6"/>
          <w:right w:val="single" w:sz="4" w:space="0" w:color="4EA72E" w:themeColor="accent6"/>
          <w:insideH w:val="nil"/>
          <w:insideV w:val="nil"/>
        </w:tcBorders>
        <w:shd w:val="clear" w:color="auto" w:fill="4EA72E" w:themeFill="accent6"/>
      </w:tcPr>
    </w:tblStylePr>
    <w:tblStylePr w:type="lastRow">
      <w:rPr>
        <w:b/>
        <w:bCs/>
      </w:rPr>
      <w:tblPr/>
      <w:tcPr>
        <w:tcBorders>
          <w:top w:val="double" w:sz="4" w:space="0" w:color="4EA72E" w:themeColor="accent6"/>
        </w:tcBorders>
      </w:tcPr>
    </w:tblStylePr>
    <w:tblStylePr w:type="firstCol">
      <w:rPr>
        <w:b/>
        <w:bCs/>
      </w:rPr>
    </w:tblStylePr>
    <w:tblStylePr w:type="lastCol">
      <w:rPr>
        <w:b/>
        <w:bCs/>
      </w:rPr>
    </w:tblStylePr>
    <w:tblStylePr w:type="band1Vert">
      <w:tblPr/>
      <w:tcPr>
        <w:shd w:val="clear" w:color="auto" w:fill="D9F2D0" w:themeFill="accent6" w:themeFillTint="33"/>
      </w:tcPr>
    </w:tblStylePr>
    <w:tblStylePr w:type="band1Horz">
      <w:tblPr/>
      <w:tcPr>
        <w:shd w:val="clear" w:color="auto" w:fill="D9F2D0" w:themeFill="accent6" w:themeFillTint="33"/>
      </w:tcPr>
    </w:tblStylePr>
  </w:style>
  <w:style w:type="table" w:styleId="GridTable5Dark">
    <w:name w:val="Grid Table 5 Dark"/>
    <w:basedOn w:val="TableNormal"/>
    <w:uiPriority w:val="50"/>
    <w:rsid w:val="00C30033"/>
    <w:pPr>
      <w:spacing w:before="160" w:after="0" w:line="240" w:lineRule="auto"/>
    </w:pPr>
    <w:rPr>
      <w:kern w:val="0"/>
      <w:sz w:val="22"/>
      <w:szCs w:val="22"/>
      <w:lang w:val="en-GB"/>
      <w14:ligatures w14:val="none"/>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uiPriority w:val="50"/>
    <w:rsid w:val="00C30033"/>
    <w:pPr>
      <w:spacing w:before="160" w:after="0" w:line="240" w:lineRule="auto"/>
    </w:pPr>
    <w:rPr>
      <w:kern w:val="0"/>
      <w:sz w:val="22"/>
      <w:szCs w:val="22"/>
      <w:lang w:val="en-GB"/>
      <w14:ligatures w14:val="none"/>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1E4F5"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56082"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56082"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56082"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56082" w:themeFill="accent1"/>
      </w:tcPr>
    </w:tblStylePr>
    <w:tblStylePr w:type="band1Vert">
      <w:tblPr/>
      <w:tcPr>
        <w:shd w:val="clear" w:color="auto" w:fill="83CAEB" w:themeFill="accent1" w:themeFillTint="66"/>
      </w:tcPr>
    </w:tblStylePr>
    <w:tblStylePr w:type="band1Horz">
      <w:tblPr/>
      <w:tcPr>
        <w:shd w:val="clear" w:color="auto" w:fill="83CAEB" w:themeFill="accent1" w:themeFillTint="66"/>
      </w:tcPr>
    </w:tblStylePr>
  </w:style>
  <w:style w:type="table" w:styleId="GridTable5Dark-Accent2">
    <w:name w:val="Grid Table 5 Dark Accent 2"/>
    <w:basedOn w:val="TableNormal"/>
    <w:uiPriority w:val="50"/>
    <w:rsid w:val="00C30033"/>
    <w:pPr>
      <w:spacing w:before="160" w:after="0" w:line="240" w:lineRule="auto"/>
    </w:pPr>
    <w:rPr>
      <w:kern w:val="0"/>
      <w:sz w:val="22"/>
      <w:szCs w:val="22"/>
      <w:lang w:val="en-GB"/>
      <w14:ligatures w14:val="none"/>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AE2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97132"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97132"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97132"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97132" w:themeFill="accent2"/>
      </w:tcPr>
    </w:tblStylePr>
    <w:tblStylePr w:type="band1Vert">
      <w:tblPr/>
      <w:tcPr>
        <w:shd w:val="clear" w:color="auto" w:fill="F6C5AC" w:themeFill="accent2" w:themeFillTint="66"/>
      </w:tcPr>
    </w:tblStylePr>
    <w:tblStylePr w:type="band1Horz">
      <w:tblPr/>
      <w:tcPr>
        <w:shd w:val="clear" w:color="auto" w:fill="F6C5AC" w:themeFill="accent2" w:themeFillTint="66"/>
      </w:tcPr>
    </w:tblStylePr>
  </w:style>
  <w:style w:type="table" w:styleId="GridTable5Dark-Accent3">
    <w:name w:val="Grid Table 5 Dark Accent 3"/>
    <w:basedOn w:val="TableNormal"/>
    <w:uiPriority w:val="50"/>
    <w:rsid w:val="00C30033"/>
    <w:pPr>
      <w:spacing w:before="160" w:after="0" w:line="240" w:lineRule="auto"/>
    </w:pPr>
    <w:rPr>
      <w:kern w:val="0"/>
      <w:sz w:val="22"/>
      <w:szCs w:val="22"/>
      <w:lang w:val="en-GB"/>
      <w14:ligatures w14:val="none"/>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1F0C7"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96B24"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96B24"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96B24"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96B24" w:themeFill="accent3"/>
      </w:tcPr>
    </w:tblStylePr>
    <w:tblStylePr w:type="band1Vert">
      <w:tblPr/>
      <w:tcPr>
        <w:shd w:val="clear" w:color="auto" w:fill="84E290" w:themeFill="accent3" w:themeFillTint="66"/>
      </w:tcPr>
    </w:tblStylePr>
    <w:tblStylePr w:type="band1Horz">
      <w:tblPr/>
      <w:tcPr>
        <w:shd w:val="clear" w:color="auto" w:fill="84E290" w:themeFill="accent3" w:themeFillTint="66"/>
      </w:tcPr>
    </w:tblStylePr>
  </w:style>
  <w:style w:type="table" w:styleId="GridTable5Dark-Accent4">
    <w:name w:val="Grid Table 5 Dark Accent 4"/>
    <w:basedOn w:val="TableNormal"/>
    <w:uiPriority w:val="50"/>
    <w:rsid w:val="00C30033"/>
    <w:pPr>
      <w:spacing w:before="160" w:after="0" w:line="240" w:lineRule="auto"/>
    </w:pPr>
    <w:rPr>
      <w:kern w:val="0"/>
      <w:sz w:val="22"/>
      <w:szCs w:val="22"/>
      <w:lang w:val="en-GB"/>
      <w14:ligatures w14:val="none"/>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AEDFB"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F9ED5"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F9ED5"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F9ED5"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F9ED5" w:themeFill="accent4"/>
      </w:tcPr>
    </w:tblStylePr>
    <w:tblStylePr w:type="band1Vert">
      <w:tblPr/>
      <w:tcPr>
        <w:shd w:val="clear" w:color="auto" w:fill="95DCF7" w:themeFill="accent4" w:themeFillTint="66"/>
      </w:tcPr>
    </w:tblStylePr>
    <w:tblStylePr w:type="band1Horz">
      <w:tblPr/>
      <w:tcPr>
        <w:shd w:val="clear" w:color="auto" w:fill="95DCF7" w:themeFill="accent4" w:themeFillTint="66"/>
      </w:tcPr>
    </w:tblStylePr>
  </w:style>
  <w:style w:type="table" w:styleId="GridTable5Dark-Accent5">
    <w:name w:val="Grid Table 5 Dark Accent 5"/>
    <w:basedOn w:val="TableNormal"/>
    <w:uiPriority w:val="50"/>
    <w:rsid w:val="00C30033"/>
    <w:pPr>
      <w:spacing w:before="160" w:after="0" w:line="240" w:lineRule="auto"/>
    </w:pPr>
    <w:rPr>
      <w:kern w:val="0"/>
      <w:sz w:val="22"/>
      <w:szCs w:val="22"/>
      <w:lang w:val="en-GB"/>
      <w14:ligatures w14:val="none"/>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CEED"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02B93"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02B93"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02B93"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02B93" w:themeFill="accent5"/>
      </w:tcPr>
    </w:tblStylePr>
    <w:tblStylePr w:type="band1Vert">
      <w:tblPr/>
      <w:tcPr>
        <w:shd w:val="clear" w:color="auto" w:fill="E59EDC" w:themeFill="accent5" w:themeFillTint="66"/>
      </w:tcPr>
    </w:tblStylePr>
    <w:tblStylePr w:type="band1Horz">
      <w:tblPr/>
      <w:tcPr>
        <w:shd w:val="clear" w:color="auto" w:fill="E59EDC" w:themeFill="accent5" w:themeFillTint="66"/>
      </w:tcPr>
    </w:tblStylePr>
  </w:style>
  <w:style w:type="table" w:styleId="GridTable5Dark-Accent6">
    <w:name w:val="Grid Table 5 Dark Accent 6"/>
    <w:basedOn w:val="TableNormal"/>
    <w:uiPriority w:val="50"/>
    <w:rsid w:val="00C30033"/>
    <w:pPr>
      <w:spacing w:before="160" w:after="0" w:line="240" w:lineRule="auto"/>
    </w:pPr>
    <w:rPr>
      <w:kern w:val="0"/>
      <w:sz w:val="22"/>
      <w:szCs w:val="22"/>
      <w:lang w:val="en-GB"/>
      <w14:ligatures w14:val="none"/>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F2D0"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EA72E"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EA72E"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EA72E"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EA72E" w:themeFill="accent6"/>
      </w:tcPr>
    </w:tblStylePr>
    <w:tblStylePr w:type="band1Vert">
      <w:tblPr/>
      <w:tcPr>
        <w:shd w:val="clear" w:color="auto" w:fill="B3E5A1" w:themeFill="accent6" w:themeFillTint="66"/>
      </w:tcPr>
    </w:tblStylePr>
    <w:tblStylePr w:type="band1Horz">
      <w:tblPr/>
      <w:tcPr>
        <w:shd w:val="clear" w:color="auto" w:fill="B3E5A1" w:themeFill="accent6" w:themeFillTint="66"/>
      </w:tcPr>
    </w:tblStylePr>
  </w:style>
  <w:style w:type="table" w:styleId="GridTable6Colorful">
    <w:name w:val="Grid Table 6 Colorful"/>
    <w:basedOn w:val="TableNormal"/>
    <w:uiPriority w:val="51"/>
    <w:rsid w:val="00C30033"/>
    <w:pPr>
      <w:spacing w:before="160" w:after="0" w:line="240" w:lineRule="auto"/>
    </w:pPr>
    <w:rPr>
      <w:color w:val="000000" w:themeColor="text1"/>
      <w:kern w:val="0"/>
      <w:sz w:val="22"/>
      <w:szCs w:val="22"/>
      <w:lang w:val="en-GB"/>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rful-Accent1">
    <w:name w:val="Grid Table 6 Colorful Accent 1"/>
    <w:basedOn w:val="TableNormal"/>
    <w:uiPriority w:val="51"/>
    <w:rsid w:val="00C30033"/>
    <w:pPr>
      <w:spacing w:before="160" w:after="0" w:line="240" w:lineRule="auto"/>
    </w:pPr>
    <w:rPr>
      <w:color w:val="0F4761" w:themeColor="accent1" w:themeShade="BF"/>
      <w:kern w:val="0"/>
      <w:sz w:val="22"/>
      <w:szCs w:val="22"/>
      <w:lang w:val="en-GB"/>
      <w14:ligatures w14:val="none"/>
    </w:r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rPr>
      <w:tblPr/>
      <w:tcPr>
        <w:tcBorders>
          <w:bottom w:val="single" w:sz="12" w:space="0" w:color="45B0E1" w:themeColor="accent1" w:themeTint="99"/>
        </w:tcBorders>
      </w:tcPr>
    </w:tblStylePr>
    <w:tblStylePr w:type="lastRow">
      <w:rPr>
        <w:b/>
        <w:bCs/>
      </w:rPr>
      <w:tblPr/>
      <w:tcPr>
        <w:tcBorders>
          <w:top w:val="double" w:sz="4" w:space="0" w:color="45B0E1" w:themeColor="accent1" w:themeTint="99"/>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styleId="GridTable6Colorful-Accent2">
    <w:name w:val="Grid Table 6 Colorful Accent 2"/>
    <w:basedOn w:val="TableNormal"/>
    <w:uiPriority w:val="51"/>
    <w:rsid w:val="00C30033"/>
    <w:pPr>
      <w:spacing w:before="160" w:after="0" w:line="240" w:lineRule="auto"/>
    </w:pPr>
    <w:rPr>
      <w:color w:val="BF4E14" w:themeColor="accent2" w:themeShade="BF"/>
      <w:kern w:val="0"/>
      <w:sz w:val="22"/>
      <w:szCs w:val="22"/>
      <w:lang w:val="en-GB"/>
      <w14:ligatures w14:val="none"/>
    </w:rPr>
    <w:tblPr>
      <w:tblStyleRowBandSize w:val="1"/>
      <w:tblStyleColBandSize w:val="1"/>
      <w:tblBorders>
        <w:top w:val="single" w:sz="4" w:space="0" w:color="F1A983" w:themeColor="accent2" w:themeTint="99"/>
        <w:left w:val="single" w:sz="4" w:space="0" w:color="F1A983" w:themeColor="accent2" w:themeTint="99"/>
        <w:bottom w:val="single" w:sz="4" w:space="0" w:color="F1A983" w:themeColor="accent2" w:themeTint="99"/>
        <w:right w:val="single" w:sz="4" w:space="0" w:color="F1A983" w:themeColor="accent2" w:themeTint="99"/>
        <w:insideH w:val="single" w:sz="4" w:space="0" w:color="F1A983" w:themeColor="accent2" w:themeTint="99"/>
        <w:insideV w:val="single" w:sz="4" w:space="0" w:color="F1A983" w:themeColor="accent2" w:themeTint="99"/>
      </w:tblBorders>
    </w:tblPr>
    <w:tblStylePr w:type="firstRow">
      <w:rPr>
        <w:b/>
        <w:bCs/>
      </w:rPr>
      <w:tblPr/>
      <w:tcPr>
        <w:tcBorders>
          <w:bottom w:val="single" w:sz="12" w:space="0" w:color="F1A983" w:themeColor="accent2" w:themeTint="99"/>
        </w:tcBorders>
      </w:tcPr>
    </w:tblStylePr>
    <w:tblStylePr w:type="lastRow">
      <w:rPr>
        <w:b/>
        <w:bCs/>
      </w:rPr>
      <w:tblPr/>
      <w:tcPr>
        <w:tcBorders>
          <w:top w:val="double" w:sz="4" w:space="0" w:color="F1A983" w:themeColor="accent2" w:themeTint="99"/>
        </w:tcBorders>
      </w:tcPr>
    </w:tblStylePr>
    <w:tblStylePr w:type="firstCol">
      <w:rPr>
        <w:b/>
        <w:bCs/>
      </w:rPr>
    </w:tblStylePr>
    <w:tblStylePr w:type="lastCol">
      <w:rPr>
        <w:b/>
        <w:bCs/>
      </w:rPr>
    </w:tblStylePr>
    <w:tblStylePr w:type="band1Vert">
      <w:tblPr/>
      <w:tcPr>
        <w:shd w:val="clear" w:color="auto" w:fill="FAE2D5" w:themeFill="accent2" w:themeFillTint="33"/>
      </w:tcPr>
    </w:tblStylePr>
    <w:tblStylePr w:type="band1Horz">
      <w:tblPr/>
      <w:tcPr>
        <w:shd w:val="clear" w:color="auto" w:fill="FAE2D5" w:themeFill="accent2" w:themeFillTint="33"/>
      </w:tcPr>
    </w:tblStylePr>
  </w:style>
  <w:style w:type="table" w:styleId="GridTable6Colorful-Accent3">
    <w:name w:val="Grid Table 6 Colorful Accent 3"/>
    <w:basedOn w:val="TableNormal"/>
    <w:uiPriority w:val="51"/>
    <w:rsid w:val="00C30033"/>
    <w:pPr>
      <w:spacing w:before="160" w:after="0" w:line="240" w:lineRule="auto"/>
    </w:pPr>
    <w:rPr>
      <w:color w:val="124F1A" w:themeColor="accent3" w:themeShade="BF"/>
      <w:kern w:val="0"/>
      <w:sz w:val="22"/>
      <w:szCs w:val="22"/>
      <w:lang w:val="en-GB"/>
      <w14:ligatures w14:val="none"/>
    </w:rPr>
    <w:tblPr>
      <w:tblStyleRowBandSize w:val="1"/>
      <w:tblStyleColBandSize w:val="1"/>
      <w:tblBorders>
        <w:top w:val="single" w:sz="4" w:space="0" w:color="47D459" w:themeColor="accent3" w:themeTint="99"/>
        <w:left w:val="single" w:sz="4" w:space="0" w:color="47D459" w:themeColor="accent3" w:themeTint="99"/>
        <w:bottom w:val="single" w:sz="4" w:space="0" w:color="47D459" w:themeColor="accent3" w:themeTint="99"/>
        <w:right w:val="single" w:sz="4" w:space="0" w:color="47D459" w:themeColor="accent3" w:themeTint="99"/>
        <w:insideH w:val="single" w:sz="4" w:space="0" w:color="47D459" w:themeColor="accent3" w:themeTint="99"/>
        <w:insideV w:val="single" w:sz="4" w:space="0" w:color="47D459" w:themeColor="accent3" w:themeTint="99"/>
      </w:tblBorders>
    </w:tblPr>
    <w:tblStylePr w:type="firstRow">
      <w:rPr>
        <w:b/>
        <w:bCs/>
      </w:rPr>
      <w:tblPr/>
      <w:tcPr>
        <w:tcBorders>
          <w:bottom w:val="single" w:sz="12" w:space="0" w:color="47D459" w:themeColor="accent3" w:themeTint="99"/>
        </w:tcBorders>
      </w:tcPr>
    </w:tblStylePr>
    <w:tblStylePr w:type="lastRow">
      <w:rPr>
        <w:b/>
        <w:bCs/>
      </w:rPr>
      <w:tblPr/>
      <w:tcPr>
        <w:tcBorders>
          <w:top w:val="double" w:sz="4" w:space="0" w:color="47D459" w:themeColor="accent3" w:themeTint="99"/>
        </w:tcBorders>
      </w:tc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styleId="GridTable6Colorful-Accent4">
    <w:name w:val="Grid Table 6 Colorful Accent 4"/>
    <w:basedOn w:val="TableNormal"/>
    <w:uiPriority w:val="51"/>
    <w:rsid w:val="00C30033"/>
    <w:pPr>
      <w:spacing w:before="160" w:after="0" w:line="240" w:lineRule="auto"/>
    </w:pPr>
    <w:rPr>
      <w:color w:val="0B769F" w:themeColor="accent4" w:themeShade="BF"/>
      <w:kern w:val="0"/>
      <w:sz w:val="22"/>
      <w:szCs w:val="22"/>
      <w:lang w:val="en-GB"/>
      <w14:ligatures w14:val="none"/>
    </w:rPr>
    <w:tblPr>
      <w:tblStyleRowBandSize w:val="1"/>
      <w:tblStyleColBandSize w:val="1"/>
      <w:tblBorders>
        <w:top w:val="single" w:sz="4" w:space="0" w:color="60CAF3" w:themeColor="accent4" w:themeTint="99"/>
        <w:left w:val="single" w:sz="4" w:space="0" w:color="60CAF3" w:themeColor="accent4" w:themeTint="99"/>
        <w:bottom w:val="single" w:sz="4" w:space="0" w:color="60CAF3" w:themeColor="accent4" w:themeTint="99"/>
        <w:right w:val="single" w:sz="4" w:space="0" w:color="60CAF3" w:themeColor="accent4" w:themeTint="99"/>
        <w:insideH w:val="single" w:sz="4" w:space="0" w:color="60CAF3" w:themeColor="accent4" w:themeTint="99"/>
        <w:insideV w:val="single" w:sz="4" w:space="0" w:color="60CAF3" w:themeColor="accent4" w:themeTint="99"/>
      </w:tblBorders>
    </w:tblPr>
    <w:tblStylePr w:type="firstRow">
      <w:rPr>
        <w:b/>
        <w:bCs/>
      </w:rPr>
      <w:tblPr/>
      <w:tcPr>
        <w:tcBorders>
          <w:bottom w:val="single" w:sz="12" w:space="0" w:color="60CAF3" w:themeColor="accent4" w:themeTint="99"/>
        </w:tcBorders>
      </w:tcPr>
    </w:tblStylePr>
    <w:tblStylePr w:type="lastRow">
      <w:rPr>
        <w:b/>
        <w:bCs/>
      </w:rPr>
      <w:tblPr/>
      <w:tcPr>
        <w:tcBorders>
          <w:top w:val="double" w:sz="4" w:space="0" w:color="60CAF3" w:themeColor="accent4" w:themeTint="99"/>
        </w:tcBorders>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styleId="GridTable6Colorful-Accent5">
    <w:name w:val="Grid Table 6 Colorful Accent 5"/>
    <w:basedOn w:val="TableNormal"/>
    <w:uiPriority w:val="51"/>
    <w:rsid w:val="00C30033"/>
    <w:pPr>
      <w:spacing w:before="160" w:after="0" w:line="240" w:lineRule="auto"/>
    </w:pPr>
    <w:rPr>
      <w:color w:val="77206D" w:themeColor="accent5" w:themeShade="BF"/>
      <w:kern w:val="0"/>
      <w:sz w:val="22"/>
      <w:szCs w:val="22"/>
      <w:lang w:val="en-GB"/>
      <w14:ligatures w14:val="none"/>
    </w:rPr>
    <w:tblPr>
      <w:tblStyleRowBandSize w:val="1"/>
      <w:tblStyleColBandSize w:val="1"/>
      <w:tblBorders>
        <w:top w:val="single" w:sz="4" w:space="0" w:color="D86DCB" w:themeColor="accent5" w:themeTint="99"/>
        <w:left w:val="single" w:sz="4" w:space="0" w:color="D86DCB" w:themeColor="accent5" w:themeTint="99"/>
        <w:bottom w:val="single" w:sz="4" w:space="0" w:color="D86DCB" w:themeColor="accent5" w:themeTint="99"/>
        <w:right w:val="single" w:sz="4" w:space="0" w:color="D86DCB" w:themeColor="accent5" w:themeTint="99"/>
        <w:insideH w:val="single" w:sz="4" w:space="0" w:color="D86DCB" w:themeColor="accent5" w:themeTint="99"/>
        <w:insideV w:val="single" w:sz="4" w:space="0" w:color="D86DCB" w:themeColor="accent5" w:themeTint="99"/>
      </w:tblBorders>
    </w:tblPr>
    <w:tblStylePr w:type="firstRow">
      <w:rPr>
        <w:b/>
        <w:bCs/>
      </w:rPr>
      <w:tblPr/>
      <w:tcPr>
        <w:tcBorders>
          <w:bottom w:val="single" w:sz="12" w:space="0" w:color="D86DCB" w:themeColor="accent5" w:themeTint="99"/>
        </w:tcBorders>
      </w:tcPr>
    </w:tblStylePr>
    <w:tblStylePr w:type="lastRow">
      <w:rPr>
        <w:b/>
        <w:bCs/>
      </w:rPr>
      <w:tblPr/>
      <w:tcPr>
        <w:tcBorders>
          <w:top w:val="double" w:sz="4" w:space="0" w:color="D86DCB" w:themeColor="accent5" w:themeTint="99"/>
        </w:tcBorders>
      </w:tcPr>
    </w:tblStylePr>
    <w:tblStylePr w:type="firstCol">
      <w:rPr>
        <w:b/>
        <w:bCs/>
      </w:rPr>
    </w:tblStylePr>
    <w:tblStylePr w:type="lastCol">
      <w:rPr>
        <w:b/>
        <w:bCs/>
      </w:rPr>
    </w:tblStylePr>
    <w:tblStylePr w:type="band1Vert">
      <w:tblPr/>
      <w:tcPr>
        <w:shd w:val="clear" w:color="auto" w:fill="F2CEED" w:themeFill="accent5" w:themeFillTint="33"/>
      </w:tcPr>
    </w:tblStylePr>
    <w:tblStylePr w:type="band1Horz">
      <w:tblPr/>
      <w:tcPr>
        <w:shd w:val="clear" w:color="auto" w:fill="F2CEED" w:themeFill="accent5" w:themeFillTint="33"/>
      </w:tcPr>
    </w:tblStylePr>
  </w:style>
  <w:style w:type="table" w:styleId="GridTable6Colorful-Accent6">
    <w:name w:val="Grid Table 6 Colorful Accent 6"/>
    <w:basedOn w:val="TableNormal"/>
    <w:uiPriority w:val="51"/>
    <w:rsid w:val="00C30033"/>
    <w:pPr>
      <w:spacing w:before="160" w:after="0" w:line="240" w:lineRule="auto"/>
    </w:pPr>
    <w:rPr>
      <w:color w:val="3A7C22" w:themeColor="accent6" w:themeShade="BF"/>
      <w:kern w:val="0"/>
      <w:sz w:val="22"/>
      <w:szCs w:val="22"/>
      <w:lang w:val="en-GB"/>
      <w14:ligatures w14:val="none"/>
    </w:rPr>
    <w:tblPr>
      <w:tblStyleRowBandSize w:val="1"/>
      <w:tblStyleColBandSize w:val="1"/>
      <w:tblBorders>
        <w:top w:val="single" w:sz="4" w:space="0" w:color="8DD873" w:themeColor="accent6" w:themeTint="99"/>
        <w:left w:val="single" w:sz="4" w:space="0" w:color="8DD873" w:themeColor="accent6" w:themeTint="99"/>
        <w:bottom w:val="single" w:sz="4" w:space="0" w:color="8DD873" w:themeColor="accent6" w:themeTint="99"/>
        <w:right w:val="single" w:sz="4" w:space="0" w:color="8DD873" w:themeColor="accent6" w:themeTint="99"/>
        <w:insideH w:val="single" w:sz="4" w:space="0" w:color="8DD873" w:themeColor="accent6" w:themeTint="99"/>
        <w:insideV w:val="single" w:sz="4" w:space="0" w:color="8DD873" w:themeColor="accent6" w:themeTint="99"/>
      </w:tblBorders>
    </w:tblPr>
    <w:tblStylePr w:type="firstRow">
      <w:rPr>
        <w:b/>
        <w:bCs/>
      </w:rPr>
      <w:tblPr/>
      <w:tcPr>
        <w:tcBorders>
          <w:bottom w:val="single" w:sz="12" w:space="0" w:color="8DD873" w:themeColor="accent6" w:themeTint="99"/>
        </w:tcBorders>
      </w:tcPr>
    </w:tblStylePr>
    <w:tblStylePr w:type="lastRow">
      <w:rPr>
        <w:b/>
        <w:bCs/>
      </w:rPr>
      <w:tblPr/>
      <w:tcPr>
        <w:tcBorders>
          <w:top w:val="double" w:sz="4" w:space="0" w:color="8DD873" w:themeColor="accent6" w:themeTint="99"/>
        </w:tcBorders>
      </w:tcPr>
    </w:tblStylePr>
    <w:tblStylePr w:type="firstCol">
      <w:rPr>
        <w:b/>
        <w:bCs/>
      </w:rPr>
    </w:tblStylePr>
    <w:tblStylePr w:type="lastCol">
      <w:rPr>
        <w:b/>
        <w:bCs/>
      </w:rPr>
    </w:tblStylePr>
    <w:tblStylePr w:type="band1Vert">
      <w:tblPr/>
      <w:tcPr>
        <w:shd w:val="clear" w:color="auto" w:fill="D9F2D0" w:themeFill="accent6" w:themeFillTint="33"/>
      </w:tcPr>
    </w:tblStylePr>
    <w:tblStylePr w:type="band1Horz">
      <w:tblPr/>
      <w:tcPr>
        <w:shd w:val="clear" w:color="auto" w:fill="D9F2D0" w:themeFill="accent6" w:themeFillTint="33"/>
      </w:tcPr>
    </w:tblStylePr>
  </w:style>
  <w:style w:type="table" w:styleId="GridTable7Colorful">
    <w:name w:val="Grid Table 7 Colorful"/>
    <w:basedOn w:val="TableNormal"/>
    <w:uiPriority w:val="52"/>
    <w:rsid w:val="00C30033"/>
    <w:pPr>
      <w:spacing w:before="160" w:after="0" w:line="240" w:lineRule="auto"/>
    </w:pPr>
    <w:rPr>
      <w:color w:val="000000" w:themeColor="text1"/>
      <w:kern w:val="0"/>
      <w:sz w:val="22"/>
      <w:szCs w:val="22"/>
      <w:lang w:val="en-GB"/>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rful-Accent1">
    <w:name w:val="Grid Table 7 Colorful Accent 1"/>
    <w:basedOn w:val="TableNormal"/>
    <w:uiPriority w:val="52"/>
    <w:rsid w:val="00C30033"/>
    <w:pPr>
      <w:spacing w:before="160" w:after="0" w:line="240" w:lineRule="auto"/>
    </w:pPr>
    <w:rPr>
      <w:color w:val="0F4761" w:themeColor="accent1" w:themeShade="BF"/>
      <w:kern w:val="0"/>
      <w:sz w:val="22"/>
      <w:szCs w:val="22"/>
      <w:lang w:val="en-GB"/>
      <w14:ligatures w14:val="none"/>
    </w:r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1E4F5" w:themeFill="accent1" w:themeFillTint="33"/>
      </w:tcPr>
    </w:tblStylePr>
    <w:tblStylePr w:type="band1Horz">
      <w:tblPr/>
      <w:tcPr>
        <w:shd w:val="clear" w:color="auto" w:fill="C1E4F5" w:themeFill="accent1" w:themeFillTint="33"/>
      </w:tcPr>
    </w:tblStylePr>
    <w:tblStylePr w:type="neCell">
      <w:tblPr/>
      <w:tcPr>
        <w:tcBorders>
          <w:bottom w:val="single" w:sz="4" w:space="0" w:color="45B0E1" w:themeColor="accent1" w:themeTint="99"/>
        </w:tcBorders>
      </w:tcPr>
    </w:tblStylePr>
    <w:tblStylePr w:type="nwCell">
      <w:tblPr/>
      <w:tcPr>
        <w:tcBorders>
          <w:bottom w:val="single" w:sz="4" w:space="0" w:color="45B0E1" w:themeColor="accent1" w:themeTint="99"/>
        </w:tcBorders>
      </w:tcPr>
    </w:tblStylePr>
    <w:tblStylePr w:type="seCell">
      <w:tblPr/>
      <w:tcPr>
        <w:tcBorders>
          <w:top w:val="single" w:sz="4" w:space="0" w:color="45B0E1" w:themeColor="accent1" w:themeTint="99"/>
        </w:tcBorders>
      </w:tcPr>
    </w:tblStylePr>
    <w:tblStylePr w:type="swCell">
      <w:tblPr/>
      <w:tcPr>
        <w:tcBorders>
          <w:top w:val="single" w:sz="4" w:space="0" w:color="45B0E1" w:themeColor="accent1" w:themeTint="99"/>
        </w:tcBorders>
      </w:tcPr>
    </w:tblStylePr>
  </w:style>
  <w:style w:type="table" w:styleId="GridTable7Colorful-Accent2">
    <w:name w:val="Grid Table 7 Colorful Accent 2"/>
    <w:basedOn w:val="TableNormal"/>
    <w:uiPriority w:val="52"/>
    <w:rsid w:val="00C30033"/>
    <w:pPr>
      <w:spacing w:before="160" w:after="0" w:line="240" w:lineRule="auto"/>
    </w:pPr>
    <w:rPr>
      <w:color w:val="BF4E14" w:themeColor="accent2" w:themeShade="BF"/>
      <w:kern w:val="0"/>
      <w:sz w:val="22"/>
      <w:szCs w:val="22"/>
      <w:lang w:val="en-GB"/>
      <w14:ligatures w14:val="none"/>
    </w:rPr>
    <w:tblPr>
      <w:tblStyleRowBandSize w:val="1"/>
      <w:tblStyleColBandSize w:val="1"/>
      <w:tblBorders>
        <w:top w:val="single" w:sz="4" w:space="0" w:color="F1A983" w:themeColor="accent2" w:themeTint="99"/>
        <w:left w:val="single" w:sz="4" w:space="0" w:color="F1A983" w:themeColor="accent2" w:themeTint="99"/>
        <w:bottom w:val="single" w:sz="4" w:space="0" w:color="F1A983" w:themeColor="accent2" w:themeTint="99"/>
        <w:right w:val="single" w:sz="4" w:space="0" w:color="F1A983" w:themeColor="accent2" w:themeTint="99"/>
        <w:insideH w:val="single" w:sz="4" w:space="0" w:color="F1A983" w:themeColor="accent2" w:themeTint="99"/>
        <w:insideV w:val="single" w:sz="4" w:space="0" w:color="F1A9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AE2D5" w:themeFill="accent2" w:themeFillTint="33"/>
      </w:tcPr>
    </w:tblStylePr>
    <w:tblStylePr w:type="band1Horz">
      <w:tblPr/>
      <w:tcPr>
        <w:shd w:val="clear" w:color="auto" w:fill="FAE2D5" w:themeFill="accent2" w:themeFillTint="33"/>
      </w:tcPr>
    </w:tblStylePr>
    <w:tblStylePr w:type="neCell">
      <w:tblPr/>
      <w:tcPr>
        <w:tcBorders>
          <w:bottom w:val="single" w:sz="4" w:space="0" w:color="F1A983" w:themeColor="accent2" w:themeTint="99"/>
        </w:tcBorders>
      </w:tcPr>
    </w:tblStylePr>
    <w:tblStylePr w:type="nwCell">
      <w:tblPr/>
      <w:tcPr>
        <w:tcBorders>
          <w:bottom w:val="single" w:sz="4" w:space="0" w:color="F1A983" w:themeColor="accent2" w:themeTint="99"/>
        </w:tcBorders>
      </w:tcPr>
    </w:tblStylePr>
    <w:tblStylePr w:type="seCell">
      <w:tblPr/>
      <w:tcPr>
        <w:tcBorders>
          <w:top w:val="single" w:sz="4" w:space="0" w:color="F1A983" w:themeColor="accent2" w:themeTint="99"/>
        </w:tcBorders>
      </w:tcPr>
    </w:tblStylePr>
    <w:tblStylePr w:type="swCell">
      <w:tblPr/>
      <w:tcPr>
        <w:tcBorders>
          <w:top w:val="single" w:sz="4" w:space="0" w:color="F1A983" w:themeColor="accent2" w:themeTint="99"/>
        </w:tcBorders>
      </w:tcPr>
    </w:tblStylePr>
  </w:style>
  <w:style w:type="table" w:styleId="GridTable7Colorful-Accent3">
    <w:name w:val="Grid Table 7 Colorful Accent 3"/>
    <w:basedOn w:val="TableNormal"/>
    <w:uiPriority w:val="52"/>
    <w:rsid w:val="00C30033"/>
    <w:pPr>
      <w:spacing w:before="160" w:after="0" w:line="240" w:lineRule="auto"/>
    </w:pPr>
    <w:rPr>
      <w:color w:val="124F1A" w:themeColor="accent3" w:themeShade="BF"/>
      <w:kern w:val="0"/>
      <w:sz w:val="22"/>
      <w:szCs w:val="22"/>
      <w:lang w:val="en-GB"/>
      <w14:ligatures w14:val="none"/>
    </w:rPr>
    <w:tblPr>
      <w:tblStyleRowBandSize w:val="1"/>
      <w:tblStyleColBandSize w:val="1"/>
      <w:tblBorders>
        <w:top w:val="single" w:sz="4" w:space="0" w:color="47D459" w:themeColor="accent3" w:themeTint="99"/>
        <w:left w:val="single" w:sz="4" w:space="0" w:color="47D459" w:themeColor="accent3" w:themeTint="99"/>
        <w:bottom w:val="single" w:sz="4" w:space="0" w:color="47D459" w:themeColor="accent3" w:themeTint="99"/>
        <w:right w:val="single" w:sz="4" w:space="0" w:color="47D459" w:themeColor="accent3" w:themeTint="99"/>
        <w:insideH w:val="single" w:sz="4" w:space="0" w:color="47D459" w:themeColor="accent3" w:themeTint="99"/>
        <w:insideV w:val="single" w:sz="4" w:space="0" w:color="47D45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1F0C7" w:themeFill="accent3" w:themeFillTint="33"/>
      </w:tcPr>
    </w:tblStylePr>
    <w:tblStylePr w:type="band1Horz">
      <w:tblPr/>
      <w:tcPr>
        <w:shd w:val="clear" w:color="auto" w:fill="C1F0C7" w:themeFill="accent3" w:themeFillTint="33"/>
      </w:tcPr>
    </w:tblStylePr>
    <w:tblStylePr w:type="neCell">
      <w:tblPr/>
      <w:tcPr>
        <w:tcBorders>
          <w:bottom w:val="single" w:sz="4" w:space="0" w:color="47D459" w:themeColor="accent3" w:themeTint="99"/>
        </w:tcBorders>
      </w:tcPr>
    </w:tblStylePr>
    <w:tblStylePr w:type="nwCell">
      <w:tblPr/>
      <w:tcPr>
        <w:tcBorders>
          <w:bottom w:val="single" w:sz="4" w:space="0" w:color="47D459" w:themeColor="accent3" w:themeTint="99"/>
        </w:tcBorders>
      </w:tcPr>
    </w:tblStylePr>
    <w:tblStylePr w:type="seCell">
      <w:tblPr/>
      <w:tcPr>
        <w:tcBorders>
          <w:top w:val="single" w:sz="4" w:space="0" w:color="47D459" w:themeColor="accent3" w:themeTint="99"/>
        </w:tcBorders>
      </w:tcPr>
    </w:tblStylePr>
    <w:tblStylePr w:type="swCell">
      <w:tblPr/>
      <w:tcPr>
        <w:tcBorders>
          <w:top w:val="single" w:sz="4" w:space="0" w:color="47D459" w:themeColor="accent3" w:themeTint="99"/>
        </w:tcBorders>
      </w:tcPr>
    </w:tblStylePr>
  </w:style>
  <w:style w:type="table" w:styleId="GridTable7Colorful-Accent4">
    <w:name w:val="Grid Table 7 Colorful Accent 4"/>
    <w:basedOn w:val="TableNormal"/>
    <w:uiPriority w:val="52"/>
    <w:rsid w:val="00C30033"/>
    <w:pPr>
      <w:spacing w:before="160" w:after="0" w:line="240" w:lineRule="auto"/>
    </w:pPr>
    <w:rPr>
      <w:color w:val="0B769F" w:themeColor="accent4" w:themeShade="BF"/>
      <w:kern w:val="0"/>
      <w:sz w:val="22"/>
      <w:szCs w:val="22"/>
      <w:lang w:val="en-GB"/>
      <w14:ligatures w14:val="none"/>
    </w:rPr>
    <w:tblPr>
      <w:tblStyleRowBandSize w:val="1"/>
      <w:tblStyleColBandSize w:val="1"/>
      <w:tblBorders>
        <w:top w:val="single" w:sz="4" w:space="0" w:color="60CAF3" w:themeColor="accent4" w:themeTint="99"/>
        <w:left w:val="single" w:sz="4" w:space="0" w:color="60CAF3" w:themeColor="accent4" w:themeTint="99"/>
        <w:bottom w:val="single" w:sz="4" w:space="0" w:color="60CAF3" w:themeColor="accent4" w:themeTint="99"/>
        <w:right w:val="single" w:sz="4" w:space="0" w:color="60CAF3" w:themeColor="accent4" w:themeTint="99"/>
        <w:insideH w:val="single" w:sz="4" w:space="0" w:color="60CAF3" w:themeColor="accent4" w:themeTint="99"/>
        <w:insideV w:val="single" w:sz="4" w:space="0" w:color="60CAF3"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AEDFB" w:themeFill="accent4" w:themeFillTint="33"/>
      </w:tcPr>
    </w:tblStylePr>
    <w:tblStylePr w:type="band1Horz">
      <w:tblPr/>
      <w:tcPr>
        <w:shd w:val="clear" w:color="auto" w:fill="CAEDFB" w:themeFill="accent4" w:themeFillTint="33"/>
      </w:tcPr>
    </w:tblStylePr>
    <w:tblStylePr w:type="neCell">
      <w:tblPr/>
      <w:tcPr>
        <w:tcBorders>
          <w:bottom w:val="single" w:sz="4" w:space="0" w:color="60CAF3" w:themeColor="accent4" w:themeTint="99"/>
        </w:tcBorders>
      </w:tcPr>
    </w:tblStylePr>
    <w:tblStylePr w:type="nwCell">
      <w:tblPr/>
      <w:tcPr>
        <w:tcBorders>
          <w:bottom w:val="single" w:sz="4" w:space="0" w:color="60CAF3" w:themeColor="accent4" w:themeTint="99"/>
        </w:tcBorders>
      </w:tcPr>
    </w:tblStylePr>
    <w:tblStylePr w:type="seCell">
      <w:tblPr/>
      <w:tcPr>
        <w:tcBorders>
          <w:top w:val="single" w:sz="4" w:space="0" w:color="60CAF3" w:themeColor="accent4" w:themeTint="99"/>
        </w:tcBorders>
      </w:tcPr>
    </w:tblStylePr>
    <w:tblStylePr w:type="swCell">
      <w:tblPr/>
      <w:tcPr>
        <w:tcBorders>
          <w:top w:val="single" w:sz="4" w:space="0" w:color="60CAF3" w:themeColor="accent4" w:themeTint="99"/>
        </w:tcBorders>
      </w:tcPr>
    </w:tblStylePr>
  </w:style>
  <w:style w:type="table" w:styleId="GridTable7Colorful-Accent5">
    <w:name w:val="Grid Table 7 Colorful Accent 5"/>
    <w:basedOn w:val="TableNormal"/>
    <w:uiPriority w:val="52"/>
    <w:rsid w:val="00C30033"/>
    <w:pPr>
      <w:spacing w:before="160" w:after="0" w:line="240" w:lineRule="auto"/>
    </w:pPr>
    <w:rPr>
      <w:color w:val="77206D" w:themeColor="accent5" w:themeShade="BF"/>
      <w:kern w:val="0"/>
      <w:sz w:val="22"/>
      <w:szCs w:val="22"/>
      <w:lang w:val="en-GB"/>
      <w14:ligatures w14:val="none"/>
    </w:rPr>
    <w:tblPr>
      <w:tblStyleRowBandSize w:val="1"/>
      <w:tblStyleColBandSize w:val="1"/>
      <w:tblBorders>
        <w:top w:val="single" w:sz="4" w:space="0" w:color="D86DCB" w:themeColor="accent5" w:themeTint="99"/>
        <w:left w:val="single" w:sz="4" w:space="0" w:color="D86DCB" w:themeColor="accent5" w:themeTint="99"/>
        <w:bottom w:val="single" w:sz="4" w:space="0" w:color="D86DCB" w:themeColor="accent5" w:themeTint="99"/>
        <w:right w:val="single" w:sz="4" w:space="0" w:color="D86DCB" w:themeColor="accent5" w:themeTint="99"/>
        <w:insideH w:val="single" w:sz="4" w:space="0" w:color="D86DCB" w:themeColor="accent5" w:themeTint="99"/>
        <w:insideV w:val="single" w:sz="4" w:space="0" w:color="D86DC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CEED" w:themeFill="accent5" w:themeFillTint="33"/>
      </w:tcPr>
    </w:tblStylePr>
    <w:tblStylePr w:type="band1Horz">
      <w:tblPr/>
      <w:tcPr>
        <w:shd w:val="clear" w:color="auto" w:fill="F2CEED" w:themeFill="accent5" w:themeFillTint="33"/>
      </w:tcPr>
    </w:tblStylePr>
    <w:tblStylePr w:type="neCell">
      <w:tblPr/>
      <w:tcPr>
        <w:tcBorders>
          <w:bottom w:val="single" w:sz="4" w:space="0" w:color="D86DCB" w:themeColor="accent5" w:themeTint="99"/>
        </w:tcBorders>
      </w:tcPr>
    </w:tblStylePr>
    <w:tblStylePr w:type="nwCell">
      <w:tblPr/>
      <w:tcPr>
        <w:tcBorders>
          <w:bottom w:val="single" w:sz="4" w:space="0" w:color="D86DCB" w:themeColor="accent5" w:themeTint="99"/>
        </w:tcBorders>
      </w:tcPr>
    </w:tblStylePr>
    <w:tblStylePr w:type="seCell">
      <w:tblPr/>
      <w:tcPr>
        <w:tcBorders>
          <w:top w:val="single" w:sz="4" w:space="0" w:color="D86DCB" w:themeColor="accent5" w:themeTint="99"/>
        </w:tcBorders>
      </w:tcPr>
    </w:tblStylePr>
    <w:tblStylePr w:type="swCell">
      <w:tblPr/>
      <w:tcPr>
        <w:tcBorders>
          <w:top w:val="single" w:sz="4" w:space="0" w:color="D86DCB" w:themeColor="accent5" w:themeTint="99"/>
        </w:tcBorders>
      </w:tcPr>
    </w:tblStylePr>
  </w:style>
  <w:style w:type="table" w:styleId="GridTable7Colorful-Accent6">
    <w:name w:val="Grid Table 7 Colorful Accent 6"/>
    <w:basedOn w:val="TableNormal"/>
    <w:uiPriority w:val="52"/>
    <w:rsid w:val="00C30033"/>
    <w:pPr>
      <w:spacing w:before="160" w:after="0" w:line="240" w:lineRule="auto"/>
    </w:pPr>
    <w:rPr>
      <w:color w:val="3A7C22" w:themeColor="accent6" w:themeShade="BF"/>
      <w:kern w:val="0"/>
      <w:sz w:val="22"/>
      <w:szCs w:val="22"/>
      <w:lang w:val="en-GB"/>
      <w14:ligatures w14:val="none"/>
    </w:rPr>
    <w:tblPr>
      <w:tblStyleRowBandSize w:val="1"/>
      <w:tblStyleColBandSize w:val="1"/>
      <w:tblBorders>
        <w:top w:val="single" w:sz="4" w:space="0" w:color="8DD873" w:themeColor="accent6" w:themeTint="99"/>
        <w:left w:val="single" w:sz="4" w:space="0" w:color="8DD873" w:themeColor="accent6" w:themeTint="99"/>
        <w:bottom w:val="single" w:sz="4" w:space="0" w:color="8DD873" w:themeColor="accent6" w:themeTint="99"/>
        <w:right w:val="single" w:sz="4" w:space="0" w:color="8DD873" w:themeColor="accent6" w:themeTint="99"/>
        <w:insideH w:val="single" w:sz="4" w:space="0" w:color="8DD873" w:themeColor="accent6" w:themeTint="99"/>
        <w:insideV w:val="single" w:sz="4" w:space="0" w:color="8DD873"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F2D0" w:themeFill="accent6" w:themeFillTint="33"/>
      </w:tcPr>
    </w:tblStylePr>
    <w:tblStylePr w:type="band1Horz">
      <w:tblPr/>
      <w:tcPr>
        <w:shd w:val="clear" w:color="auto" w:fill="D9F2D0" w:themeFill="accent6" w:themeFillTint="33"/>
      </w:tcPr>
    </w:tblStylePr>
    <w:tblStylePr w:type="neCell">
      <w:tblPr/>
      <w:tcPr>
        <w:tcBorders>
          <w:bottom w:val="single" w:sz="4" w:space="0" w:color="8DD873" w:themeColor="accent6" w:themeTint="99"/>
        </w:tcBorders>
      </w:tcPr>
    </w:tblStylePr>
    <w:tblStylePr w:type="nwCell">
      <w:tblPr/>
      <w:tcPr>
        <w:tcBorders>
          <w:bottom w:val="single" w:sz="4" w:space="0" w:color="8DD873" w:themeColor="accent6" w:themeTint="99"/>
        </w:tcBorders>
      </w:tcPr>
    </w:tblStylePr>
    <w:tblStylePr w:type="seCell">
      <w:tblPr/>
      <w:tcPr>
        <w:tcBorders>
          <w:top w:val="single" w:sz="4" w:space="0" w:color="8DD873" w:themeColor="accent6" w:themeTint="99"/>
        </w:tcBorders>
      </w:tcPr>
    </w:tblStylePr>
    <w:tblStylePr w:type="swCell">
      <w:tblPr/>
      <w:tcPr>
        <w:tcBorders>
          <w:top w:val="single" w:sz="4" w:space="0" w:color="8DD873" w:themeColor="accent6" w:themeTint="99"/>
        </w:tcBorders>
      </w:tcPr>
    </w:tblStylePr>
  </w:style>
  <w:style w:type="table" w:styleId="LightGrid">
    <w:name w:val="Light Grid"/>
    <w:basedOn w:val="TableNormal"/>
    <w:uiPriority w:val="62"/>
    <w:semiHidden/>
    <w:unhideWhenUsed/>
    <w:rsid w:val="00C30033"/>
    <w:pPr>
      <w:spacing w:after="0" w:line="240" w:lineRule="auto"/>
    </w:pPr>
    <w:rPr>
      <w:kern w:val="0"/>
      <w:sz w:val="22"/>
      <w:szCs w:val="22"/>
      <w:lang w:val="en-GB"/>
      <w14:ligatures w14:val="non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unhideWhenUsed/>
    <w:rsid w:val="00C30033"/>
    <w:pPr>
      <w:spacing w:after="0" w:line="240" w:lineRule="auto"/>
    </w:pPr>
    <w:rPr>
      <w:kern w:val="0"/>
      <w:sz w:val="22"/>
      <w:szCs w:val="22"/>
      <w:lang w:val="en-GB"/>
      <w14:ligatures w14:val="none"/>
    </w:rPr>
    <w:tblPr>
      <w:tblStyleRowBandSize w:val="1"/>
      <w:tblStyleColBandSize w:val="1"/>
      <w:tblBorders>
        <w:top w:val="single" w:sz="8" w:space="0" w:color="156082" w:themeColor="accent1"/>
        <w:left w:val="single" w:sz="8" w:space="0" w:color="156082" w:themeColor="accent1"/>
        <w:bottom w:val="single" w:sz="8" w:space="0" w:color="156082" w:themeColor="accent1"/>
        <w:right w:val="single" w:sz="8" w:space="0" w:color="156082" w:themeColor="accent1"/>
        <w:insideH w:val="single" w:sz="8" w:space="0" w:color="156082" w:themeColor="accent1"/>
        <w:insideV w:val="single" w:sz="8" w:space="0" w:color="156082"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156082" w:themeColor="accent1"/>
          <w:left w:val="single" w:sz="8" w:space="0" w:color="156082" w:themeColor="accent1"/>
          <w:bottom w:val="single" w:sz="18" w:space="0" w:color="156082" w:themeColor="accent1"/>
          <w:right w:val="single" w:sz="8" w:space="0" w:color="156082" w:themeColor="accent1"/>
          <w:insideH w:val="nil"/>
          <w:insideV w:val="single" w:sz="8" w:space="0" w:color="156082"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56082" w:themeColor="accent1"/>
          <w:left w:val="single" w:sz="8" w:space="0" w:color="156082" w:themeColor="accent1"/>
          <w:bottom w:val="single" w:sz="8" w:space="0" w:color="156082" w:themeColor="accent1"/>
          <w:right w:val="single" w:sz="8" w:space="0" w:color="156082" w:themeColor="accent1"/>
          <w:insideH w:val="nil"/>
          <w:insideV w:val="single" w:sz="8" w:space="0" w:color="156082"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56082" w:themeColor="accent1"/>
          <w:left w:val="single" w:sz="8" w:space="0" w:color="156082" w:themeColor="accent1"/>
          <w:bottom w:val="single" w:sz="8" w:space="0" w:color="156082" w:themeColor="accent1"/>
          <w:right w:val="single" w:sz="8" w:space="0" w:color="156082" w:themeColor="accent1"/>
        </w:tcBorders>
      </w:tcPr>
    </w:tblStylePr>
    <w:tblStylePr w:type="band1Vert">
      <w:tblPr/>
      <w:tcPr>
        <w:tcBorders>
          <w:top w:val="single" w:sz="8" w:space="0" w:color="156082" w:themeColor="accent1"/>
          <w:left w:val="single" w:sz="8" w:space="0" w:color="156082" w:themeColor="accent1"/>
          <w:bottom w:val="single" w:sz="8" w:space="0" w:color="156082" w:themeColor="accent1"/>
          <w:right w:val="single" w:sz="8" w:space="0" w:color="156082" w:themeColor="accent1"/>
        </w:tcBorders>
        <w:shd w:val="clear" w:color="auto" w:fill="B2DEF2" w:themeFill="accent1" w:themeFillTint="3F"/>
      </w:tcPr>
    </w:tblStylePr>
    <w:tblStylePr w:type="band1Horz">
      <w:tblPr/>
      <w:tcPr>
        <w:tcBorders>
          <w:top w:val="single" w:sz="8" w:space="0" w:color="156082" w:themeColor="accent1"/>
          <w:left w:val="single" w:sz="8" w:space="0" w:color="156082" w:themeColor="accent1"/>
          <w:bottom w:val="single" w:sz="8" w:space="0" w:color="156082" w:themeColor="accent1"/>
          <w:right w:val="single" w:sz="8" w:space="0" w:color="156082" w:themeColor="accent1"/>
          <w:insideV w:val="single" w:sz="8" w:space="0" w:color="156082" w:themeColor="accent1"/>
        </w:tcBorders>
        <w:shd w:val="clear" w:color="auto" w:fill="B2DEF2" w:themeFill="accent1" w:themeFillTint="3F"/>
      </w:tcPr>
    </w:tblStylePr>
    <w:tblStylePr w:type="band2Horz">
      <w:tblPr/>
      <w:tcPr>
        <w:tcBorders>
          <w:top w:val="single" w:sz="8" w:space="0" w:color="156082" w:themeColor="accent1"/>
          <w:left w:val="single" w:sz="8" w:space="0" w:color="156082" w:themeColor="accent1"/>
          <w:bottom w:val="single" w:sz="8" w:space="0" w:color="156082" w:themeColor="accent1"/>
          <w:right w:val="single" w:sz="8" w:space="0" w:color="156082" w:themeColor="accent1"/>
          <w:insideV w:val="single" w:sz="8" w:space="0" w:color="156082" w:themeColor="accent1"/>
        </w:tcBorders>
      </w:tcPr>
    </w:tblStylePr>
  </w:style>
  <w:style w:type="table" w:styleId="LightGrid-Accent2">
    <w:name w:val="Light Grid Accent 2"/>
    <w:basedOn w:val="TableNormal"/>
    <w:uiPriority w:val="62"/>
    <w:semiHidden/>
    <w:unhideWhenUsed/>
    <w:rsid w:val="00C30033"/>
    <w:pPr>
      <w:spacing w:after="0" w:line="240" w:lineRule="auto"/>
    </w:pPr>
    <w:rPr>
      <w:kern w:val="0"/>
      <w:sz w:val="22"/>
      <w:szCs w:val="22"/>
      <w:lang w:val="en-GB"/>
      <w14:ligatures w14:val="none"/>
    </w:rPr>
    <w:tblPr>
      <w:tblStyleRowBandSize w:val="1"/>
      <w:tblStyleColBandSize w:val="1"/>
      <w:tblBorders>
        <w:top w:val="single" w:sz="8" w:space="0" w:color="E97132" w:themeColor="accent2"/>
        <w:left w:val="single" w:sz="8" w:space="0" w:color="E97132" w:themeColor="accent2"/>
        <w:bottom w:val="single" w:sz="8" w:space="0" w:color="E97132" w:themeColor="accent2"/>
        <w:right w:val="single" w:sz="8" w:space="0" w:color="E97132" w:themeColor="accent2"/>
        <w:insideH w:val="single" w:sz="8" w:space="0" w:color="E97132" w:themeColor="accent2"/>
        <w:insideV w:val="single" w:sz="8" w:space="0" w:color="E97132"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97132" w:themeColor="accent2"/>
          <w:left w:val="single" w:sz="8" w:space="0" w:color="E97132" w:themeColor="accent2"/>
          <w:bottom w:val="single" w:sz="18" w:space="0" w:color="E97132" w:themeColor="accent2"/>
          <w:right w:val="single" w:sz="8" w:space="0" w:color="E97132" w:themeColor="accent2"/>
          <w:insideH w:val="nil"/>
          <w:insideV w:val="single" w:sz="8" w:space="0" w:color="E97132"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97132" w:themeColor="accent2"/>
          <w:left w:val="single" w:sz="8" w:space="0" w:color="E97132" w:themeColor="accent2"/>
          <w:bottom w:val="single" w:sz="8" w:space="0" w:color="E97132" w:themeColor="accent2"/>
          <w:right w:val="single" w:sz="8" w:space="0" w:color="E97132" w:themeColor="accent2"/>
          <w:insideH w:val="nil"/>
          <w:insideV w:val="single" w:sz="8" w:space="0" w:color="E97132"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97132" w:themeColor="accent2"/>
          <w:left w:val="single" w:sz="8" w:space="0" w:color="E97132" w:themeColor="accent2"/>
          <w:bottom w:val="single" w:sz="8" w:space="0" w:color="E97132" w:themeColor="accent2"/>
          <w:right w:val="single" w:sz="8" w:space="0" w:color="E97132" w:themeColor="accent2"/>
        </w:tcBorders>
      </w:tcPr>
    </w:tblStylePr>
    <w:tblStylePr w:type="band1Vert">
      <w:tblPr/>
      <w:tcPr>
        <w:tcBorders>
          <w:top w:val="single" w:sz="8" w:space="0" w:color="E97132" w:themeColor="accent2"/>
          <w:left w:val="single" w:sz="8" w:space="0" w:color="E97132" w:themeColor="accent2"/>
          <w:bottom w:val="single" w:sz="8" w:space="0" w:color="E97132" w:themeColor="accent2"/>
          <w:right w:val="single" w:sz="8" w:space="0" w:color="E97132" w:themeColor="accent2"/>
        </w:tcBorders>
        <w:shd w:val="clear" w:color="auto" w:fill="F9DBCC" w:themeFill="accent2" w:themeFillTint="3F"/>
      </w:tcPr>
    </w:tblStylePr>
    <w:tblStylePr w:type="band1Horz">
      <w:tblPr/>
      <w:tcPr>
        <w:tcBorders>
          <w:top w:val="single" w:sz="8" w:space="0" w:color="E97132" w:themeColor="accent2"/>
          <w:left w:val="single" w:sz="8" w:space="0" w:color="E97132" w:themeColor="accent2"/>
          <w:bottom w:val="single" w:sz="8" w:space="0" w:color="E97132" w:themeColor="accent2"/>
          <w:right w:val="single" w:sz="8" w:space="0" w:color="E97132" w:themeColor="accent2"/>
          <w:insideV w:val="single" w:sz="8" w:space="0" w:color="E97132" w:themeColor="accent2"/>
        </w:tcBorders>
        <w:shd w:val="clear" w:color="auto" w:fill="F9DBCC" w:themeFill="accent2" w:themeFillTint="3F"/>
      </w:tcPr>
    </w:tblStylePr>
    <w:tblStylePr w:type="band2Horz">
      <w:tblPr/>
      <w:tcPr>
        <w:tcBorders>
          <w:top w:val="single" w:sz="8" w:space="0" w:color="E97132" w:themeColor="accent2"/>
          <w:left w:val="single" w:sz="8" w:space="0" w:color="E97132" w:themeColor="accent2"/>
          <w:bottom w:val="single" w:sz="8" w:space="0" w:color="E97132" w:themeColor="accent2"/>
          <w:right w:val="single" w:sz="8" w:space="0" w:color="E97132" w:themeColor="accent2"/>
          <w:insideV w:val="single" w:sz="8" w:space="0" w:color="E97132" w:themeColor="accent2"/>
        </w:tcBorders>
      </w:tcPr>
    </w:tblStylePr>
  </w:style>
  <w:style w:type="table" w:styleId="LightGrid-Accent3">
    <w:name w:val="Light Grid Accent 3"/>
    <w:basedOn w:val="TableNormal"/>
    <w:uiPriority w:val="62"/>
    <w:semiHidden/>
    <w:unhideWhenUsed/>
    <w:rsid w:val="00C30033"/>
    <w:pPr>
      <w:spacing w:after="0" w:line="240" w:lineRule="auto"/>
    </w:pPr>
    <w:rPr>
      <w:kern w:val="0"/>
      <w:sz w:val="22"/>
      <w:szCs w:val="22"/>
      <w:lang w:val="en-GB"/>
      <w14:ligatures w14:val="none"/>
    </w:rPr>
    <w:tblPr>
      <w:tblStyleRowBandSize w:val="1"/>
      <w:tblStyleColBandSize w:val="1"/>
      <w:tblBorders>
        <w:top w:val="single" w:sz="8" w:space="0" w:color="196B24" w:themeColor="accent3"/>
        <w:left w:val="single" w:sz="8" w:space="0" w:color="196B24" w:themeColor="accent3"/>
        <w:bottom w:val="single" w:sz="8" w:space="0" w:color="196B24" w:themeColor="accent3"/>
        <w:right w:val="single" w:sz="8" w:space="0" w:color="196B24" w:themeColor="accent3"/>
        <w:insideH w:val="single" w:sz="8" w:space="0" w:color="196B24" w:themeColor="accent3"/>
        <w:insideV w:val="single" w:sz="8" w:space="0" w:color="196B24"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196B24" w:themeColor="accent3"/>
          <w:left w:val="single" w:sz="8" w:space="0" w:color="196B24" w:themeColor="accent3"/>
          <w:bottom w:val="single" w:sz="18" w:space="0" w:color="196B24" w:themeColor="accent3"/>
          <w:right w:val="single" w:sz="8" w:space="0" w:color="196B24" w:themeColor="accent3"/>
          <w:insideH w:val="nil"/>
          <w:insideV w:val="single" w:sz="8" w:space="0" w:color="196B24"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96B24" w:themeColor="accent3"/>
          <w:left w:val="single" w:sz="8" w:space="0" w:color="196B24" w:themeColor="accent3"/>
          <w:bottom w:val="single" w:sz="8" w:space="0" w:color="196B24" w:themeColor="accent3"/>
          <w:right w:val="single" w:sz="8" w:space="0" w:color="196B24" w:themeColor="accent3"/>
          <w:insideH w:val="nil"/>
          <w:insideV w:val="single" w:sz="8" w:space="0" w:color="196B24"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96B24" w:themeColor="accent3"/>
          <w:left w:val="single" w:sz="8" w:space="0" w:color="196B24" w:themeColor="accent3"/>
          <w:bottom w:val="single" w:sz="8" w:space="0" w:color="196B24" w:themeColor="accent3"/>
          <w:right w:val="single" w:sz="8" w:space="0" w:color="196B24" w:themeColor="accent3"/>
        </w:tcBorders>
      </w:tcPr>
    </w:tblStylePr>
    <w:tblStylePr w:type="band1Vert">
      <w:tblPr/>
      <w:tcPr>
        <w:tcBorders>
          <w:top w:val="single" w:sz="8" w:space="0" w:color="196B24" w:themeColor="accent3"/>
          <w:left w:val="single" w:sz="8" w:space="0" w:color="196B24" w:themeColor="accent3"/>
          <w:bottom w:val="single" w:sz="8" w:space="0" w:color="196B24" w:themeColor="accent3"/>
          <w:right w:val="single" w:sz="8" w:space="0" w:color="196B24" w:themeColor="accent3"/>
        </w:tcBorders>
        <w:shd w:val="clear" w:color="auto" w:fill="B3EDBA" w:themeFill="accent3" w:themeFillTint="3F"/>
      </w:tcPr>
    </w:tblStylePr>
    <w:tblStylePr w:type="band1Horz">
      <w:tblPr/>
      <w:tcPr>
        <w:tcBorders>
          <w:top w:val="single" w:sz="8" w:space="0" w:color="196B24" w:themeColor="accent3"/>
          <w:left w:val="single" w:sz="8" w:space="0" w:color="196B24" w:themeColor="accent3"/>
          <w:bottom w:val="single" w:sz="8" w:space="0" w:color="196B24" w:themeColor="accent3"/>
          <w:right w:val="single" w:sz="8" w:space="0" w:color="196B24" w:themeColor="accent3"/>
          <w:insideV w:val="single" w:sz="8" w:space="0" w:color="196B24" w:themeColor="accent3"/>
        </w:tcBorders>
        <w:shd w:val="clear" w:color="auto" w:fill="B3EDBA" w:themeFill="accent3" w:themeFillTint="3F"/>
      </w:tcPr>
    </w:tblStylePr>
    <w:tblStylePr w:type="band2Horz">
      <w:tblPr/>
      <w:tcPr>
        <w:tcBorders>
          <w:top w:val="single" w:sz="8" w:space="0" w:color="196B24" w:themeColor="accent3"/>
          <w:left w:val="single" w:sz="8" w:space="0" w:color="196B24" w:themeColor="accent3"/>
          <w:bottom w:val="single" w:sz="8" w:space="0" w:color="196B24" w:themeColor="accent3"/>
          <w:right w:val="single" w:sz="8" w:space="0" w:color="196B24" w:themeColor="accent3"/>
          <w:insideV w:val="single" w:sz="8" w:space="0" w:color="196B24" w:themeColor="accent3"/>
        </w:tcBorders>
      </w:tcPr>
    </w:tblStylePr>
  </w:style>
  <w:style w:type="table" w:styleId="LightGrid-Accent4">
    <w:name w:val="Light Grid Accent 4"/>
    <w:basedOn w:val="TableNormal"/>
    <w:uiPriority w:val="62"/>
    <w:semiHidden/>
    <w:unhideWhenUsed/>
    <w:rsid w:val="00C30033"/>
    <w:pPr>
      <w:spacing w:after="0" w:line="240" w:lineRule="auto"/>
    </w:pPr>
    <w:rPr>
      <w:kern w:val="0"/>
      <w:sz w:val="22"/>
      <w:szCs w:val="22"/>
      <w:lang w:val="en-GB"/>
      <w14:ligatures w14:val="none"/>
    </w:rPr>
    <w:tblPr>
      <w:tblStyleRowBandSize w:val="1"/>
      <w:tblStyleColBandSize w:val="1"/>
      <w:tblBorders>
        <w:top w:val="single" w:sz="8" w:space="0" w:color="0F9ED5" w:themeColor="accent4"/>
        <w:left w:val="single" w:sz="8" w:space="0" w:color="0F9ED5" w:themeColor="accent4"/>
        <w:bottom w:val="single" w:sz="8" w:space="0" w:color="0F9ED5" w:themeColor="accent4"/>
        <w:right w:val="single" w:sz="8" w:space="0" w:color="0F9ED5" w:themeColor="accent4"/>
        <w:insideH w:val="single" w:sz="8" w:space="0" w:color="0F9ED5" w:themeColor="accent4"/>
        <w:insideV w:val="single" w:sz="8" w:space="0" w:color="0F9ED5"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F9ED5" w:themeColor="accent4"/>
          <w:left w:val="single" w:sz="8" w:space="0" w:color="0F9ED5" w:themeColor="accent4"/>
          <w:bottom w:val="single" w:sz="18" w:space="0" w:color="0F9ED5" w:themeColor="accent4"/>
          <w:right w:val="single" w:sz="8" w:space="0" w:color="0F9ED5" w:themeColor="accent4"/>
          <w:insideH w:val="nil"/>
          <w:insideV w:val="single" w:sz="8" w:space="0" w:color="0F9ED5"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F9ED5" w:themeColor="accent4"/>
          <w:left w:val="single" w:sz="8" w:space="0" w:color="0F9ED5" w:themeColor="accent4"/>
          <w:bottom w:val="single" w:sz="8" w:space="0" w:color="0F9ED5" w:themeColor="accent4"/>
          <w:right w:val="single" w:sz="8" w:space="0" w:color="0F9ED5" w:themeColor="accent4"/>
          <w:insideH w:val="nil"/>
          <w:insideV w:val="single" w:sz="8" w:space="0" w:color="0F9ED5"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F9ED5" w:themeColor="accent4"/>
          <w:left w:val="single" w:sz="8" w:space="0" w:color="0F9ED5" w:themeColor="accent4"/>
          <w:bottom w:val="single" w:sz="8" w:space="0" w:color="0F9ED5" w:themeColor="accent4"/>
          <w:right w:val="single" w:sz="8" w:space="0" w:color="0F9ED5" w:themeColor="accent4"/>
        </w:tcBorders>
      </w:tcPr>
    </w:tblStylePr>
    <w:tblStylePr w:type="band1Vert">
      <w:tblPr/>
      <w:tcPr>
        <w:tcBorders>
          <w:top w:val="single" w:sz="8" w:space="0" w:color="0F9ED5" w:themeColor="accent4"/>
          <w:left w:val="single" w:sz="8" w:space="0" w:color="0F9ED5" w:themeColor="accent4"/>
          <w:bottom w:val="single" w:sz="8" w:space="0" w:color="0F9ED5" w:themeColor="accent4"/>
          <w:right w:val="single" w:sz="8" w:space="0" w:color="0F9ED5" w:themeColor="accent4"/>
        </w:tcBorders>
        <w:shd w:val="clear" w:color="auto" w:fill="BDE9FA" w:themeFill="accent4" w:themeFillTint="3F"/>
      </w:tcPr>
    </w:tblStylePr>
    <w:tblStylePr w:type="band1Horz">
      <w:tblPr/>
      <w:tcPr>
        <w:tcBorders>
          <w:top w:val="single" w:sz="8" w:space="0" w:color="0F9ED5" w:themeColor="accent4"/>
          <w:left w:val="single" w:sz="8" w:space="0" w:color="0F9ED5" w:themeColor="accent4"/>
          <w:bottom w:val="single" w:sz="8" w:space="0" w:color="0F9ED5" w:themeColor="accent4"/>
          <w:right w:val="single" w:sz="8" w:space="0" w:color="0F9ED5" w:themeColor="accent4"/>
          <w:insideV w:val="single" w:sz="8" w:space="0" w:color="0F9ED5" w:themeColor="accent4"/>
        </w:tcBorders>
        <w:shd w:val="clear" w:color="auto" w:fill="BDE9FA" w:themeFill="accent4" w:themeFillTint="3F"/>
      </w:tcPr>
    </w:tblStylePr>
    <w:tblStylePr w:type="band2Horz">
      <w:tblPr/>
      <w:tcPr>
        <w:tcBorders>
          <w:top w:val="single" w:sz="8" w:space="0" w:color="0F9ED5" w:themeColor="accent4"/>
          <w:left w:val="single" w:sz="8" w:space="0" w:color="0F9ED5" w:themeColor="accent4"/>
          <w:bottom w:val="single" w:sz="8" w:space="0" w:color="0F9ED5" w:themeColor="accent4"/>
          <w:right w:val="single" w:sz="8" w:space="0" w:color="0F9ED5" w:themeColor="accent4"/>
          <w:insideV w:val="single" w:sz="8" w:space="0" w:color="0F9ED5" w:themeColor="accent4"/>
        </w:tcBorders>
      </w:tcPr>
    </w:tblStylePr>
  </w:style>
  <w:style w:type="table" w:styleId="LightGrid-Accent5">
    <w:name w:val="Light Grid Accent 5"/>
    <w:basedOn w:val="TableNormal"/>
    <w:uiPriority w:val="62"/>
    <w:semiHidden/>
    <w:unhideWhenUsed/>
    <w:rsid w:val="00C30033"/>
    <w:pPr>
      <w:spacing w:after="0" w:line="240" w:lineRule="auto"/>
    </w:pPr>
    <w:rPr>
      <w:kern w:val="0"/>
      <w:sz w:val="22"/>
      <w:szCs w:val="22"/>
      <w:lang w:val="en-GB"/>
      <w14:ligatures w14:val="none"/>
    </w:rPr>
    <w:tblPr>
      <w:tblStyleRowBandSize w:val="1"/>
      <w:tblStyleColBandSize w:val="1"/>
      <w:tblBorders>
        <w:top w:val="single" w:sz="8" w:space="0" w:color="A02B93" w:themeColor="accent5"/>
        <w:left w:val="single" w:sz="8" w:space="0" w:color="A02B93" w:themeColor="accent5"/>
        <w:bottom w:val="single" w:sz="8" w:space="0" w:color="A02B93" w:themeColor="accent5"/>
        <w:right w:val="single" w:sz="8" w:space="0" w:color="A02B93" w:themeColor="accent5"/>
        <w:insideH w:val="single" w:sz="8" w:space="0" w:color="A02B93" w:themeColor="accent5"/>
        <w:insideV w:val="single" w:sz="8" w:space="0" w:color="A02B93"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02B93" w:themeColor="accent5"/>
          <w:left w:val="single" w:sz="8" w:space="0" w:color="A02B93" w:themeColor="accent5"/>
          <w:bottom w:val="single" w:sz="18" w:space="0" w:color="A02B93" w:themeColor="accent5"/>
          <w:right w:val="single" w:sz="8" w:space="0" w:color="A02B93" w:themeColor="accent5"/>
          <w:insideH w:val="nil"/>
          <w:insideV w:val="single" w:sz="8" w:space="0" w:color="A02B93"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02B93" w:themeColor="accent5"/>
          <w:left w:val="single" w:sz="8" w:space="0" w:color="A02B93" w:themeColor="accent5"/>
          <w:bottom w:val="single" w:sz="8" w:space="0" w:color="A02B93" w:themeColor="accent5"/>
          <w:right w:val="single" w:sz="8" w:space="0" w:color="A02B93" w:themeColor="accent5"/>
          <w:insideH w:val="nil"/>
          <w:insideV w:val="single" w:sz="8" w:space="0" w:color="A02B93"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02B93" w:themeColor="accent5"/>
          <w:left w:val="single" w:sz="8" w:space="0" w:color="A02B93" w:themeColor="accent5"/>
          <w:bottom w:val="single" w:sz="8" w:space="0" w:color="A02B93" w:themeColor="accent5"/>
          <w:right w:val="single" w:sz="8" w:space="0" w:color="A02B93" w:themeColor="accent5"/>
        </w:tcBorders>
      </w:tcPr>
    </w:tblStylePr>
    <w:tblStylePr w:type="band1Vert">
      <w:tblPr/>
      <w:tcPr>
        <w:tcBorders>
          <w:top w:val="single" w:sz="8" w:space="0" w:color="A02B93" w:themeColor="accent5"/>
          <w:left w:val="single" w:sz="8" w:space="0" w:color="A02B93" w:themeColor="accent5"/>
          <w:bottom w:val="single" w:sz="8" w:space="0" w:color="A02B93" w:themeColor="accent5"/>
          <w:right w:val="single" w:sz="8" w:space="0" w:color="A02B93" w:themeColor="accent5"/>
        </w:tcBorders>
        <w:shd w:val="clear" w:color="auto" w:fill="EFC3E9" w:themeFill="accent5" w:themeFillTint="3F"/>
      </w:tcPr>
    </w:tblStylePr>
    <w:tblStylePr w:type="band1Horz">
      <w:tblPr/>
      <w:tcPr>
        <w:tcBorders>
          <w:top w:val="single" w:sz="8" w:space="0" w:color="A02B93" w:themeColor="accent5"/>
          <w:left w:val="single" w:sz="8" w:space="0" w:color="A02B93" w:themeColor="accent5"/>
          <w:bottom w:val="single" w:sz="8" w:space="0" w:color="A02B93" w:themeColor="accent5"/>
          <w:right w:val="single" w:sz="8" w:space="0" w:color="A02B93" w:themeColor="accent5"/>
          <w:insideV w:val="single" w:sz="8" w:space="0" w:color="A02B93" w:themeColor="accent5"/>
        </w:tcBorders>
        <w:shd w:val="clear" w:color="auto" w:fill="EFC3E9" w:themeFill="accent5" w:themeFillTint="3F"/>
      </w:tcPr>
    </w:tblStylePr>
    <w:tblStylePr w:type="band2Horz">
      <w:tblPr/>
      <w:tcPr>
        <w:tcBorders>
          <w:top w:val="single" w:sz="8" w:space="0" w:color="A02B93" w:themeColor="accent5"/>
          <w:left w:val="single" w:sz="8" w:space="0" w:color="A02B93" w:themeColor="accent5"/>
          <w:bottom w:val="single" w:sz="8" w:space="0" w:color="A02B93" w:themeColor="accent5"/>
          <w:right w:val="single" w:sz="8" w:space="0" w:color="A02B93" w:themeColor="accent5"/>
          <w:insideV w:val="single" w:sz="8" w:space="0" w:color="A02B93" w:themeColor="accent5"/>
        </w:tcBorders>
      </w:tcPr>
    </w:tblStylePr>
  </w:style>
  <w:style w:type="table" w:styleId="LightGrid-Accent6">
    <w:name w:val="Light Grid Accent 6"/>
    <w:basedOn w:val="TableNormal"/>
    <w:uiPriority w:val="62"/>
    <w:semiHidden/>
    <w:unhideWhenUsed/>
    <w:rsid w:val="00C30033"/>
    <w:pPr>
      <w:spacing w:after="0" w:line="240" w:lineRule="auto"/>
    </w:pPr>
    <w:rPr>
      <w:kern w:val="0"/>
      <w:sz w:val="22"/>
      <w:szCs w:val="22"/>
      <w:lang w:val="en-GB"/>
      <w14:ligatures w14:val="none"/>
    </w:rPr>
    <w:tblPr>
      <w:tblStyleRowBandSize w:val="1"/>
      <w:tblStyleColBandSize w:val="1"/>
      <w:tblBorders>
        <w:top w:val="single" w:sz="8" w:space="0" w:color="4EA72E" w:themeColor="accent6"/>
        <w:left w:val="single" w:sz="8" w:space="0" w:color="4EA72E" w:themeColor="accent6"/>
        <w:bottom w:val="single" w:sz="8" w:space="0" w:color="4EA72E" w:themeColor="accent6"/>
        <w:right w:val="single" w:sz="8" w:space="0" w:color="4EA72E" w:themeColor="accent6"/>
        <w:insideH w:val="single" w:sz="8" w:space="0" w:color="4EA72E" w:themeColor="accent6"/>
        <w:insideV w:val="single" w:sz="8" w:space="0" w:color="4EA72E"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EA72E" w:themeColor="accent6"/>
          <w:left w:val="single" w:sz="8" w:space="0" w:color="4EA72E" w:themeColor="accent6"/>
          <w:bottom w:val="single" w:sz="18" w:space="0" w:color="4EA72E" w:themeColor="accent6"/>
          <w:right w:val="single" w:sz="8" w:space="0" w:color="4EA72E" w:themeColor="accent6"/>
          <w:insideH w:val="nil"/>
          <w:insideV w:val="single" w:sz="8" w:space="0" w:color="4EA72E"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EA72E" w:themeColor="accent6"/>
          <w:left w:val="single" w:sz="8" w:space="0" w:color="4EA72E" w:themeColor="accent6"/>
          <w:bottom w:val="single" w:sz="8" w:space="0" w:color="4EA72E" w:themeColor="accent6"/>
          <w:right w:val="single" w:sz="8" w:space="0" w:color="4EA72E" w:themeColor="accent6"/>
          <w:insideH w:val="nil"/>
          <w:insideV w:val="single" w:sz="8" w:space="0" w:color="4EA72E"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EA72E" w:themeColor="accent6"/>
          <w:left w:val="single" w:sz="8" w:space="0" w:color="4EA72E" w:themeColor="accent6"/>
          <w:bottom w:val="single" w:sz="8" w:space="0" w:color="4EA72E" w:themeColor="accent6"/>
          <w:right w:val="single" w:sz="8" w:space="0" w:color="4EA72E" w:themeColor="accent6"/>
        </w:tcBorders>
      </w:tcPr>
    </w:tblStylePr>
    <w:tblStylePr w:type="band1Vert">
      <w:tblPr/>
      <w:tcPr>
        <w:tcBorders>
          <w:top w:val="single" w:sz="8" w:space="0" w:color="4EA72E" w:themeColor="accent6"/>
          <w:left w:val="single" w:sz="8" w:space="0" w:color="4EA72E" w:themeColor="accent6"/>
          <w:bottom w:val="single" w:sz="8" w:space="0" w:color="4EA72E" w:themeColor="accent6"/>
          <w:right w:val="single" w:sz="8" w:space="0" w:color="4EA72E" w:themeColor="accent6"/>
        </w:tcBorders>
        <w:shd w:val="clear" w:color="auto" w:fill="D0EFC5" w:themeFill="accent6" w:themeFillTint="3F"/>
      </w:tcPr>
    </w:tblStylePr>
    <w:tblStylePr w:type="band1Horz">
      <w:tblPr/>
      <w:tcPr>
        <w:tcBorders>
          <w:top w:val="single" w:sz="8" w:space="0" w:color="4EA72E" w:themeColor="accent6"/>
          <w:left w:val="single" w:sz="8" w:space="0" w:color="4EA72E" w:themeColor="accent6"/>
          <w:bottom w:val="single" w:sz="8" w:space="0" w:color="4EA72E" w:themeColor="accent6"/>
          <w:right w:val="single" w:sz="8" w:space="0" w:color="4EA72E" w:themeColor="accent6"/>
          <w:insideV w:val="single" w:sz="8" w:space="0" w:color="4EA72E" w:themeColor="accent6"/>
        </w:tcBorders>
        <w:shd w:val="clear" w:color="auto" w:fill="D0EFC5" w:themeFill="accent6" w:themeFillTint="3F"/>
      </w:tcPr>
    </w:tblStylePr>
    <w:tblStylePr w:type="band2Horz">
      <w:tblPr/>
      <w:tcPr>
        <w:tcBorders>
          <w:top w:val="single" w:sz="8" w:space="0" w:color="4EA72E" w:themeColor="accent6"/>
          <w:left w:val="single" w:sz="8" w:space="0" w:color="4EA72E" w:themeColor="accent6"/>
          <w:bottom w:val="single" w:sz="8" w:space="0" w:color="4EA72E" w:themeColor="accent6"/>
          <w:right w:val="single" w:sz="8" w:space="0" w:color="4EA72E" w:themeColor="accent6"/>
          <w:insideV w:val="single" w:sz="8" w:space="0" w:color="4EA72E" w:themeColor="accent6"/>
        </w:tcBorders>
      </w:tcPr>
    </w:tblStylePr>
  </w:style>
  <w:style w:type="table" w:styleId="LightList">
    <w:name w:val="Light List"/>
    <w:basedOn w:val="TableNormal"/>
    <w:uiPriority w:val="61"/>
    <w:semiHidden/>
    <w:unhideWhenUsed/>
    <w:rsid w:val="00C30033"/>
    <w:pPr>
      <w:spacing w:after="0" w:line="240" w:lineRule="auto"/>
    </w:pPr>
    <w:rPr>
      <w:kern w:val="0"/>
      <w:sz w:val="22"/>
      <w:szCs w:val="22"/>
      <w:lang w:val="en-GB"/>
      <w14:ligatures w14:val="non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rsid w:val="00C30033"/>
    <w:pPr>
      <w:spacing w:after="0" w:line="240" w:lineRule="auto"/>
    </w:pPr>
    <w:rPr>
      <w:kern w:val="0"/>
      <w:sz w:val="22"/>
      <w:szCs w:val="22"/>
      <w:lang w:val="en-GB"/>
      <w14:ligatures w14:val="none"/>
    </w:rPr>
    <w:tblPr>
      <w:tblStyleRowBandSize w:val="1"/>
      <w:tblStyleColBandSize w:val="1"/>
      <w:tblBorders>
        <w:top w:val="single" w:sz="8" w:space="0" w:color="156082" w:themeColor="accent1"/>
        <w:left w:val="single" w:sz="8" w:space="0" w:color="156082" w:themeColor="accent1"/>
        <w:bottom w:val="single" w:sz="8" w:space="0" w:color="156082" w:themeColor="accent1"/>
        <w:right w:val="single" w:sz="8" w:space="0" w:color="156082" w:themeColor="accent1"/>
      </w:tblBorders>
    </w:tblPr>
    <w:tblStylePr w:type="firstRow">
      <w:pPr>
        <w:spacing w:before="0" w:after="0" w:line="240" w:lineRule="auto"/>
      </w:pPr>
      <w:rPr>
        <w:b/>
        <w:bCs/>
        <w:color w:val="FFFFFF" w:themeColor="background1"/>
      </w:rPr>
      <w:tblPr/>
      <w:tcPr>
        <w:shd w:val="clear" w:color="auto" w:fill="156082" w:themeFill="accent1"/>
      </w:tcPr>
    </w:tblStylePr>
    <w:tblStylePr w:type="lastRow">
      <w:pPr>
        <w:spacing w:before="0" w:after="0" w:line="240" w:lineRule="auto"/>
      </w:pPr>
      <w:rPr>
        <w:b/>
        <w:bCs/>
      </w:rPr>
      <w:tblPr/>
      <w:tcPr>
        <w:tcBorders>
          <w:top w:val="double" w:sz="6" w:space="0" w:color="156082" w:themeColor="accent1"/>
          <w:left w:val="single" w:sz="8" w:space="0" w:color="156082" w:themeColor="accent1"/>
          <w:bottom w:val="single" w:sz="8" w:space="0" w:color="156082" w:themeColor="accent1"/>
          <w:right w:val="single" w:sz="8" w:space="0" w:color="156082" w:themeColor="accent1"/>
        </w:tcBorders>
      </w:tcPr>
    </w:tblStylePr>
    <w:tblStylePr w:type="firstCol">
      <w:rPr>
        <w:b/>
        <w:bCs/>
      </w:rPr>
    </w:tblStylePr>
    <w:tblStylePr w:type="lastCol">
      <w:rPr>
        <w:b/>
        <w:bCs/>
      </w:rPr>
    </w:tblStylePr>
    <w:tblStylePr w:type="band1Vert">
      <w:tblPr/>
      <w:tcPr>
        <w:tcBorders>
          <w:top w:val="single" w:sz="8" w:space="0" w:color="156082" w:themeColor="accent1"/>
          <w:left w:val="single" w:sz="8" w:space="0" w:color="156082" w:themeColor="accent1"/>
          <w:bottom w:val="single" w:sz="8" w:space="0" w:color="156082" w:themeColor="accent1"/>
          <w:right w:val="single" w:sz="8" w:space="0" w:color="156082" w:themeColor="accent1"/>
        </w:tcBorders>
      </w:tcPr>
    </w:tblStylePr>
    <w:tblStylePr w:type="band1Horz">
      <w:tblPr/>
      <w:tcPr>
        <w:tcBorders>
          <w:top w:val="single" w:sz="8" w:space="0" w:color="156082" w:themeColor="accent1"/>
          <w:left w:val="single" w:sz="8" w:space="0" w:color="156082" w:themeColor="accent1"/>
          <w:bottom w:val="single" w:sz="8" w:space="0" w:color="156082" w:themeColor="accent1"/>
          <w:right w:val="single" w:sz="8" w:space="0" w:color="156082" w:themeColor="accent1"/>
        </w:tcBorders>
      </w:tcPr>
    </w:tblStylePr>
  </w:style>
  <w:style w:type="table" w:styleId="LightList-Accent2">
    <w:name w:val="Light List Accent 2"/>
    <w:basedOn w:val="TableNormal"/>
    <w:uiPriority w:val="61"/>
    <w:semiHidden/>
    <w:unhideWhenUsed/>
    <w:rsid w:val="00C30033"/>
    <w:pPr>
      <w:spacing w:after="0" w:line="240" w:lineRule="auto"/>
    </w:pPr>
    <w:rPr>
      <w:kern w:val="0"/>
      <w:sz w:val="22"/>
      <w:szCs w:val="22"/>
      <w:lang w:val="en-GB"/>
      <w14:ligatures w14:val="none"/>
    </w:rPr>
    <w:tblPr>
      <w:tblStyleRowBandSize w:val="1"/>
      <w:tblStyleColBandSize w:val="1"/>
      <w:tblBorders>
        <w:top w:val="single" w:sz="8" w:space="0" w:color="E97132" w:themeColor="accent2"/>
        <w:left w:val="single" w:sz="8" w:space="0" w:color="E97132" w:themeColor="accent2"/>
        <w:bottom w:val="single" w:sz="8" w:space="0" w:color="E97132" w:themeColor="accent2"/>
        <w:right w:val="single" w:sz="8" w:space="0" w:color="E97132" w:themeColor="accent2"/>
      </w:tblBorders>
    </w:tblPr>
    <w:tblStylePr w:type="firstRow">
      <w:pPr>
        <w:spacing w:before="0" w:after="0" w:line="240" w:lineRule="auto"/>
      </w:pPr>
      <w:rPr>
        <w:b/>
        <w:bCs/>
        <w:color w:val="FFFFFF" w:themeColor="background1"/>
      </w:rPr>
      <w:tblPr/>
      <w:tcPr>
        <w:shd w:val="clear" w:color="auto" w:fill="E97132" w:themeFill="accent2"/>
      </w:tcPr>
    </w:tblStylePr>
    <w:tblStylePr w:type="lastRow">
      <w:pPr>
        <w:spacing w:before="0" w:after="0" w:line="240" w:lineRule="auto"/>
      </w:pPr>
      <w:rPr>
        <w:b/>
        <w:bCs/>
      </w:rPr>
      <w:tblPr/>
      <w:tcPr>
        <w:tcBorders>
          <w:top w:val="double" w:sz="6" w:space="0" w:color="E97132" w:themeColor="accent2"/>
          <w:left w:val="single" w:sz="8" w:space="0" w:color="E97132" w:themeColor="accent2"/>
          <w:bottom w:val="single" w:sz="8" w:space="0" w:color="E97132" w:themeColor="accent2"/>
          <w:right w:val="single" w:sz="8" w:space="0" w:color="E97132" w:themeColor="accent2"/>
        </w:tcBorders>
      </w:tcPr>
    </w:tblStylePr>
    <w:tblStylePr w:type="firstCol">
      <w:rPr>
        <w:b/>
        <w:bCs/>
      </w:rPr>
    </w:tblStylePr>
    <w:tblStylePr w:type="lastCol">
      <w:rPr>
        <w:b/>
        <w:bCs/>
      </w:rPr>
    </w:tblStylePr>
    <w:tblStylePr w:type="band1Vert">
      <w:tblPr/>
      <w:tcPr>
        <w:tcBorders>
          <w:top w:val="single" w:sz="8" w:space="0" w:color="E97132" w:themeColor="accent2"/>
          <w:left w:val="single" w:sz="8" w:space="0" w:color="E97132" w:themeColor="accent2"/>
          <w:bottom w:val="single" w:sz="8" w:space="0" w:color="E97132" w:themeColor="accent2"/>
          <w:right w:val="single" w:sz="8" w:space="0" w:color="E97132" w:themeColor="accent2"/>
        </w:tcBorders>
      </w:tcPr>
    </w:tblStylePr>
    <w:tblStylePr w:type="band1Horz">
      <w:tblPr/>
      <w:tcPr>
        <w:tcBorders>
          <w:top w:val="single" w:sz="8" w:space="0" w:color="E97132" w:themeColor="accent2"/>
          <w:left w:val="single" w:sz="8" w:space="0" w:color="E97132" w:themeColor="accent2"/>
          <w:bottom w:val="single" w:sz="8" w:space="0" w:color="E97132" w:themeColor="accent2"/>
          <w:right w:val="single" w:sz="8" w:space="0" w:color="E97132" w:themeColor="accent2"/>
        </w:tcBorders>
      </w:tcPr>
    </w:tblStylePr>
  </w:style>
  <w:style w:type="table" w:styleId="LightList-Accent3">
    <w:name w:val="Light List Accent 3"/>
    <w:basedOn w:val="TableNormal"/>
    <w:uiPriority w:val="61"/>
    <w:semiHidden/>
    <w:unhideWhenUsed/>
    <w:rsid w:val="00C30033"/>
    <w:pPr>
      <w:spacing w:after="0" w:line="240" w:lineRule="auto"/>
    </w:pPr>
    <w:rPr>
      <w:kern w:val="0"/>
      <w:sz w:val="22"/>
      <w:szCs w:val="22"/>
      <w:lang w:val="en-GB"/>
      <w14:ligatures w14:val="none"/>
    </w:rPr>
    <w:tblPr>
      <w:tblStyleRowBandSize w:val="1"/>
      <w:tblStyleColBandSize w:val="1"/>
      <w:tblBorders>
        <w:top w:val="single" w:sz="8" w:space="0" w:color="196B24" w:themeColor="accent3"/>
        <w:left w:val="single" w:sz="8" w:space="0" w:color="196B24" w:themeColor="accent3"/>
        <w:bottom w:val="single" w:sz="8" w:space="0" w:color="196B24" w:themeColor="accent3"/>
        <w:right w:val="single" w:sz="8" w:space="0" w:color="196B24" w:themeColor="accent3"/>
      </w:tblBorders>
    </w:tblPr>
    <w:tblStylePr w:type="firstRow">
      <w:pPr>
        <w:spacing w:before="0" w:after="0" w:line="240" w:lineRule="auto"/>
      </w:pPr>
      <w:rPr>
        <w:b/>
        <w:bCs/>
        <w:color w:val="FFFFFF" w:themeColor="background1"/>
      </w:rPr>
      <w:tblPr/>
      <w:tcPr>
        <w:shd w:val="clear" w:color="auto" w:fill="196B24" w:themeFill="accent3"/>
      </w:tcPr>
    </w:tblStylePr>
    <w:tblStylePr w:type="lastRow">
      <w:pPr>
        <w:spacing w:before="0" w:after="0" w:line="240" w:lineRule="auto"/>
      </w:pPr>
      <w:rPr>
        <w:b/>
        <w:bCs/>
      </w:rPr>
      <w:tblPr/>
      <w:tcPr>
        <w:tcBorders>
          <w:top w:val="double" w:sz="6" w:space="0" w:color="196B24" w:themeColor="accent3"/>
          <w:left w:val="single" w:sz="8" w:space="0" w:color="196B24" w:themeColor="accent3"/>
          <w:bottom w:val="single" w:sz="8" w:space="0" w:color="196B24" w:themeColor="accent3"/>
          <w:right w:val="single" w:sz="8" w:space="0" w:color="196B24" w:themeColor="accent3"/>
        </w:tcBorders>
      </w:tcPr>
    </w:tblStylePr>
    <w:tblStylePr w:type="firstCol">
      <w:rPr>
        <w:b/>
        <w:bCs/>
      </w:rPr>
    </w:tblStylePr>
    <w:tblStylePr w:type="lastCol">
      <w:rPr>
        <w:b/>
        <w:bCs/>
      </w:rPr>
    </w:tblStylePr>
    <w:tblStylePr w:type="band1Vert">
      <w:tblPr/>
      <w:tcPr>
        <w:tcBorders>
          <w:top w:val="single" w:sz="8" w:space="0" w:color="196B24" w:themeColor="accent3"/>
          <w:left w:val="single" w:sz="8" w:space="0" w:color="196B24" w:themeColor="accent3"/>
          <w:bottom w:val="single" w:sz="8" w:space="0" w:color="196B24" w:themeColor="accent3"/>
          <w:right w:val="single" w:sz="8" w:space="0" w:color="196B24" w:themeColor="accent3"/>
        </w:tcBorders>
      </w:tcPr>
    </w:tblStylePr>
    <w:tblStylePr w:type="band1Horz">
      <w:tblPr/>
      <w:tcPr>
        <w:tcBorders>
          <w:top w:val="single" w:sz="8" w:space="0" w:color="196B24" w:themeColor="accent3"/>
          <w:left w:val="single" w:sz="8" w:space="0" w:color="196B24" w:themeColor="accent3"/>
          <w:bottom w:val="single" w:sz="8" w:space="0" w:color="196B24" w:themeColor="accent3"/>
          <w:right w:val="single" w:sz="8" w:space="0" w:color="196B24" w:themeColor="accent3"/>
        </w:tcBorders>
      </w:tcPr>
    </w:tblStylePr>
  </w:style>
  <w:style w:type="table" w:styleId="LightList-Accent4">
    <w:name w:val="Light List Accent 4"/>
    <w:basedOn w:val="TableNormal"/>
    <w:uiPriority w:val="61"/>
    <w:semiHidden/>
    <w:unhideWhenUsed/>
    <w:rsid w:val="00C30033"/>
    <w:pPr>
      <w:spacing w:after="0" w:line="240" w:lineRule="auto"/>
    </w:pPr>
    <w:rPr>
      <w:kern w:val="0"/>
      <w:sz w:val="22"/>
      <w:szCs w:val="22"/>
      <w:lang w:val="en-GB"/>
      <w14:ligatures w14:val="none"/>
    </w:rPr>
    <w:tblPr>
      <w:tblStyleRowBandSize w:val="1"/>
      <w:tblStyleColBandSize w:val="1"/>
      <w:tblBorders>
        <w:top w:val="single" w:sz="8" w:space="0" w:color="0F9ED5" w:themeColor="accent4"/>
        <w:left w:val="single" w:sz="8" w:space="0" w:color="0F9ED5" w:themeColor="accent4"/>
        <w:bottom w:val="single" w:sz="8" w:space="0" w:color="0F9ED5" w:themeColor="accent4"/>
        <w:right w:val="single" w:sz="8" w:space="0" w:color="0F9ED5" w:themeColor="accent4"/>
      </w:tblBorders>
    </w:tblPr>
    <w:tblStylePr w:type="firstRow">
      <w:pPr>
        <w:spacing w:before="0" w:after="0" w:line="240" w:lineRule="auto"/>
      </w:pPr>
      <w:rPr>
        <w:b/>
        <w:bCs/>
        <w:color w:val="FFFFFF" w:themeColor="background1"/>
      </w:rPr>
      <w:tblPr/>
      <w:tcPr>
        <w:shd w:val="clear" w:color="auto" w:fill="0F9ED5" w:themeFill="accent4"/>
      </w:tcPr>
    </w:tblStylePr>
    <w:tblStylePr w:type="lastRow">
      <w:pPr>
        <w:spacing w:before="0" w:after="0" w:line="240" w:lineRule="auto"/>
      </w:pPr>
      <w:rPr>
        <w:b/>
        <w:bCs/>
      </w:rPr>
      <w:tblPr/>
      <w:tcPr>
        <w:tcBorders>
          <w:top w:val="double" w:sz="6" w:space="0" w:color="0F9ED5" w:themeColor="accent4"/>
          <w:left w:val="single" w:sz="8" w:space="0" w:color="0F9ED5" w:themeColor="accent4"/>
          <w:bottom w:val="single" w:sz="8" w:space="0" w:color="0F9ED5" w:themeColor="accent4"/>
          <w:right w:val="single" w:sz="8" w:space="0" w:color="0F9ED5" w:themeColor="accent4"/>
        </w:tcBorders>
      </w:tcPr>
    </w:tblStylePr>
    <w:tblStylePr w:type="firstCol">
      <w:rPr>
        <w:b/>
        <w:bCs/>
      </w:rPr>
    </w:tblStylePr>
    <w:tblStylePr w:type="lastCol">
      <w:rPr>
        <w:b/>
        <w:bCs/>
      </w:rPr>
    </w:tblStylePr>
    <w:tblStylePr w:type="band1Vert">
      <w:tblPr/>
      <w:tcPr>
        <w:tcBorders>
          <w:top w:val="single" w:sz="8" w:space="0" w:color="0F9ED5" w:themeColor="accent4"/>
          <w:left w:val="single" w:sz="8" w:space="0" w:color="0F9ED5" w:themeColor="accent4"/>
          <w:bottom w:val="single" w:sz="8" w:space="0" w:color="0F9ED5" w:themeColor="accent4"/>
          <w:right w:val="single" w:sz="8" w:space="0" w:color="0F9ED5" w:themeColor="accent4"/>
        </w:tcBorders>
      </w:tcPr>
    </w:tblStylePr>
    <w:tblStylePr w:type="band1Horz">
      <w:tblPr/>
      <w:tcPr>
        <w:tcBorders>
          <w:top w:val="single" w:sz="8" w:space="0" w:color="0F9ED5" w:themeColor="accent4"/>
          <w:left w:val="single" w:sz="8" w:space="0" w:color="0F9ED5" w:themeColor="accent4"/>
          <w:bottom w:val="single" w:sz="8" w:space="0" w:color="0F9ED5" w:themeColor="accent4"/>
          <w:right w:val="single" w:sz="8" w:space="0" w:color="0F9ED5" w:themeColor="accent4"/>
        </w:tcBorders>
      </w:tcPr>
    </w:tblStylePr>
  </w:style>
  <w:style w:type="table" w:styleId="LightList-Accent5">
    <w:name w:val="Light List Accent 5"/>
    <w:basedOn w:val="TableNormal"/>
    <w:uiPriority w:val="61"/>
    <w:semiHidden/>
    <w:unhideWhenUsed/>
    <w:rsid w:val="00C30033"/>
    <w:pPr>
      <w:spacing w:after="0" w:line="240" w:lineRule="auto"/>
    </w:pPr>
    <w:rPr>
      <w:kern w:val="0"/>
      <w:sz w:val="22"/>
      <w:szCs w:val="22"/>
      <w:lang w:val="en-GB"/>
      <w14:ligatures w14:val="none"/>
    </w:rPr>
    <w:tblPr>
      <w:tblStyleRowBandSize w:val="1"/>
      <w:tblStyleColBandSize w:val="1"/>
      <w:tblBorders>
        <w:top w:val="single" w:sz="8" w:space="0" w:color="A02B93" w:themeColor="accent5"/>
        <w:left w:val="single" w:sz="8" w:space="0" w:color="A02B93" w:themeColor="accent5"/>
        <w:bottom w:val="single" w:sz="8" w:space="0" w:color="A02B93" w:themeColor="accent5"/>
        <w:right w:val="single" w:sz="8" w:space="0" w:color="A02B93" w:themeColor="accent5"/>
      </w:tblBorders>
    </w:tblPr>
    <w:tblStylePr w:type="firstRow">
      <w:pPr>
        <w:spacing w:before="0" w:after="0" w:line="240" w:lineRule="auto"/>
      </w:pPr>
      <w:rPr>
        <w:b/>
        <w:bCs/>
        <w:color w:val="FFFFFF" w:themeColor="background1"/>
      </w:rPr>
      <w:tblPr/>
      <w:tcPr>
        <w:shd w:val="clear" w:color="auto" w:fill="A02B93" w:themeFill="accent5"/>
      </w:tcPr>
    </w:tblStylePr>
    <w:tblStylePr w:type="lastRow">
      <w:pPr>
        <w:spacing w:before="0" w:after="0" w:line="240" w:lineRule="auto"/>
      </w:pPr>
      <w:rPr>
        <w:b/>
        <w:bCs/>
      </w:rPr>
      <w:tblPr/>
      <w:tcPr>
        <w:tcBorders>
          <w:top w:val="double" w:sz="6" w:space="0" w:color="A02B93" w:themeColor="accent5"/>
          <w:left w:val="single" w:sz="8" w:space="0" w:color="A02B93" w:themeColor="accent5"/>
          <w:bottom w:val="single" w:sz="8" w:space="0" w:color="A02B93" w:themeColor="accent5"/>
          <w:right w:val="single" w:sz="8" w:space="0" w:color="A02B93" w:themeColor="accent5"/>
        </w:tcBorders>
      </w:tcPr>
    </w:tblStylePr>
    <w:tblStylePr w:type="firstCol">
      <w:rPr>
        <w:b/>
        <w:bCs/>
      </w:rPr>
    </w:tblStylePr>
    <w:tblStylePr w:type="lastCol">
      <w:rPr>
        <w:b/>
        <w:bCs/>
      </w:rPr>
    </w:tblStylePr>
    <w:tblStylePr w:type="band1Vert">
      <w:tblPr/>
      <w:tcPr>
        <w:tcBorders>
          <w:top w:val="single" w:sz="8" w:space="0" w:color="A02B93" w:themeColor="accent5"/>
          <w:left w:val="single" w:sz="8" w:space="0" w:color="A02B93" w:themeColor="accent5"/>
          <w:bottom w:val="single" w:sz="8" w:space="0" w:color="A02B93" w:themeColor="accent5"/>
          <w:right w:val="single" w:sz="8" w:space="0" w:color="A02B93" w:themeColor="accent5"/>
        </w:tcBorders>
      </w:tcPr>
    </w:tblStylePr>
    <w:tblStylePr w:type="band1Horz">
      <w:tblPr/>
      <w:tcPr>
        <w:tcBorders>
          <w:top w:val="single" w:sz="8" w:space="0" w:color="A02B93" w:themeColor="accent5"/>
          <w:left w:val="single" w:sz="8" w:space="0" w:color="A02B93" w:themeColor="accent5"/>
          <w:bottom w:val="single" w:sz="8" w:space="0" w:color="A02B93" w:themeColor="accent5"/>
          <w:right w:val="single" w:sz="8" w:space="0" w:color="A02B93" w:themeColor="accent5"/>
        </w:tcBorders>
      </w:tcPr>
    </w:tblStylePr>
  </w:style>
  <w:style w:type="table" w:styleId="LightList-Accent6">
    <w:name w:val="Light List Accent 6"/>
    <w:basedOn w:val="TableNormal"/>
    <w:uiPriority w:val="61"/>
    <w:semiHidden/>
    <w:unhideWhenUsed/>
    <w:rsid w:val="00C30033"/>
    <w:pPr>
      <w:spacing w:after="0" w:line="240" w:lineRule="auto"/>
    </w:pPr>
    <w:rPr>
      <w:kern w:val="0"/>
      <w:sz w:val="22"/>
      <w:szCs w:val="22"/>
      <w:lang w:val="en-GB"/>
      <w14:ligatures w14:val="none"/>
    </w:rPr>
    <w:tblPr>
      <w:tblStyleRowBandSize w:val="1"/>
      <w:tblStyleColBandSize w:val="1"/>
      <w:tblBorders>
        <w:top w:val="single" w:sz="8" w:space="0" w:color="4EA72E" w:themeColor="accent6"/>
        <w:left w:val="single" w:sz="8" w:space="0" w:color="4EA72E" w:themeColor="accent6"/>
        <w:bottom w:val="single" w:sz="8" w:space="0" w:color="4EA72E" w:themeColor="accent6"/>
        <w:right w:val="single" w:sz="8" w:space="0" w:color="4EA72E" w:themeColor="accent6"/>
      </w:tblBorders>
    </w:tblPr>
    <w:tblStylePr w:type="firstRow">
      <w:pPr>
        <w:spacing w:before="0" w:after="0" w:line="240" w:lineRule="auto"/>
      </w:pPr>
      <w:rPr>
        <w:b/>
        <w:bCs/>
        <w:color w:val="FFFFFF" w:themeColor="background1"/>
      </w:rPr>
      <w:tblPr/>
      <w:tcPr>
        <w:shd w:val="clear" w:color="auto" w:fill="4EA72E" w:themeFill="accent6"/>
      </w:tcPr>
    </w:tblStylePr>
    <w:tblStylePr w:type="lastRow">
      <w:pPr>
        <w:spacing w:before="0" w:after="0" w:line="240" w:lineRule="auto"/>
      </w:pPr>
      <w:rPr>
        <w:b/>
        <w:bCs/>
      </w:rPr>
      <w:tblPr/>
      <w:tcPr>
        <w:tcBorders>
          <w:top w:val="double" w:sz="6" w:space="0" w:color="4EA72E" w:themeColor="accent6"/>
          <w:left w:val="single" w:sz="8" w:space="0" w:color="4EA72E" w:themeColor="accent6"/>
          <w:bottom w:val="single" w:sz="8" w:space="0" w:color="4EA72E" w:themeColor="accent6"/>
          <w:right w:val="single" w:sz="8" w:space="0" w:color="4EA72E" w:themeColor="accent6"/>
        </w:tcBorders>
      </w:tcPr>
    </w:tblStylePr>
    <w:tblStylePr w:type="firstCol">
      <w:rPr>
        <w:b/>
        <w:bCs/>
      </w:rPr>
    </w:tblStylePr>
    <w:tblStylePr w:type="lastCol">
      <w:rPr>
        <w:b/>
        <w:bCs/>
      </w:rPr>
    </w:tblStylePr>
    <w:tblStylePr w:type="band1Vert">
      <w:tblPr/>
      <w:tcPr>
        <w:tcBorders>
          <w:top w:val="single" w:sz="8" w:space="0" w:color="4EA72E" w:themeColor="accent6"/>
          <w:left w:val="single" w:sz="8" w:space="0" w:color="4EA72E" w:themeColor="accent6"/>
          <w:bottom w:val="single" w:sz="8" w:space="0" w:color="4EA72E" w:themeColor="accent6"/>
          <w:right w:val="single" w:sz="8" w:space="0" w:color="4EA72E" w:themeColor="accent6"/>
        </w:tcBorders>
      </w:tcPr>
    </w:tblStylePr>
    <w:tblStylePr w:type="band1Horz">
      <w:tblPr/>
      <w:tcPr>
        <w:tcBorders>
          <w:top w:val="single" w:sz="8" w:space="0" w:color="4EA72E" w:themeColor="accent6"/>
          <w:left w:val="single" w:sz="8" w:space="0" w:color="4EA72E" w:themeColor="accent6"/>
          <w:bottom w:val="single" w:sz="8" w:space="0" w:color="4EA72E" w:themeColor="accent6"/>
          <w:right w:val="single" w:sz="8" w:space="0" w:color="4EA72E" w:themeColor="accent6"/>
        </w:tcBorders>
      </w:tcPr>
    </w:tblStylePr>
  </w:style>
  <w:style w:type="table" w:styleId="LightShading">
    <w:name w:val="Light Shading"/>
    <w:basedOn w:val="TableNormal"/>
    <w:uiPriority w:val="60"/>
    <w:semiHidden/>
    <w:unhideWhenUsed/>
    <w:rsid w:val="00C30033"/>
    <w:pPr>
      <w:spacing w:after="0" w:line="240" w:lineRule="auto"/>
    </w:pPr>
    <w:rPr>
      <w:color w:val="000000" w:themeColor="text1" w:themeShade="BF"/>
      <w:kern w:val="0"/>
      <w:sz w:val="22"/>
      <w:szCs w:val="22"/>
      <w:lang w:val="en-GB"/>
      <w14:ligatures w14:val="none"/>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sid w:val="00C30033"/>
    <w:pPr>
      <w:spacing w:after="0" w:line="240" w:lineRule="auto"/>
    </w:pPr>
    <w:rPr>
      <w:color w:val="0F4761" w:themeColor="accent1" w:themeShade="BF"/>
      <w:kern w:val="0"/>
      <w:sz w:val="22"/>
      <w:szCs w:val="22"/>
      <w:lang w:val="en-GB"/>
      <w14:ligatures w14:val="none"/>
    </w:rPr>
    <w:tblPr>
      <w:tblStyleRowBandSize w:val="1"/>
      <w:tblStyleColBandSize w:val="1"/>
      <w:tblBorders>
        <w:top w:val="single" w:sz="8" w:space="0" w:color="156082" w:themeColor="accent1"/>
        <w:bottom w:val="single" w:sz="8" w:space="0" w:color="156082" w:themeColor="accent1"/>
      </w:tblBorders>
    </w:tblPr>
    <w:tblStylePr w:type="firstRow">
      <w:pPr>
        <w:spacing w:before="0" w:after="0" w:line="240" w:lineRule="auto"/>
      </w:pPr>
      <w:rPr>
        <w:b/>
        <w:bCs/>
      </w:rPr>
      <w:tblPr/>
      <w:tcPr>
        <w:tcBorders>
          <w:top w:val="single" w:sz="8" w:space="0" w:color="156082" w:themeColor="accent1"/>
          <w:left w:val="nil"/>
          <w:bottom w:val="single" w:sz="8" w:space="0" w:color="156082" w:themeColor="accent1"/>
          <w:right w:val="nil"/>
          <w:insideH w:val="nil"/>
          <w:insideV w:val="nil"/>
        </w:tcBorders>
      </w:tcPr>
    </w:tblStylePr>
    <w:tblStylePr w:type="lastRow">
      <w:pPr>
        <w:spacing w:before="0" w:after="0" w:line="240" w:lineRule="auto"/>
      </w:pPr>
      <w:rPr>
        <w:b/>
        <w:bCs/>
      </w:rPr>
      <w:tblPr/>
      <w:tcPr>
        <w:tcBorders>
          <w:top w:val="single" w:sz="8" w:space="0" w:color="156082" w:themeColor="accent1"/>
          <w:left w:val="nil"/>
          <w:bottom w:val="single" w:sz="8" w:space="0" w:color="156082"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2DEF2" w:themeFill="accent1" w:themeFillTint="3F"/>
      </w:tcPr>
    </w:tblStylePr>
    <w:tblStylePr w:type="band1Horz">
      <w:tblPr/>
      <w:tcPr>
        <w:tcBorders>
          <w:left w:val="nil"/>
          <w:right w:val="nil"/>
          <w:insideH w:val="nil"/>
          <w:insideV w:val="nil"/>
        </w:tcBorders>
        <w:shd w:val="clear" w:color="auto" w:fill="B2DEF2" w:themeFill="accent1" w:themeFillTint="3F"/>
      </w:tcPr>
    </w:tblStylePr>
  </w:style>
  <w:style w:type="table" w:styleId="LightShading-Accent2">
    <w:name w:val="Light Shading Accent 2"/>
    <w:basedOn w:val="TableNormal"/>
    <w:uiPriority w:val="60"/>
    <w:semiHidden/>
    <w:unhideWhenUsed/>
    <w:rsid w:val="00C30033"/>
    <w:pPr>
      <w:spacing w:after="0" w:line="240" w:lineRule="auto"/>
    </w:pPr>
    <w:rPr>
      <w:color w:val="BF4E14" w:themeColor="accent2" w:themeShade="BF"/>
      <w:kern w:val="0"/>
      <w:sz w:val="22"/>
      <w:szCs w:val="22"/>
      <w:lang w:val="en-GB"/>
      <w14:ligatures w14:val="none"/>
    </w:rPr>
    <w:tblPr>
      <w:tblStyleRowBandSize w:val="1"/>
      <w:tblStyleColBandSize w:val="1"/>
      <w:tblBorders>
        <w:top w:val="single" w:sz="8" w:space="0" w:color="E97132" w:themeColor="accent2"/>
        <w:bottom w:val="single" w:sz="8" w:space="0" w:color="E97132" w:themeColor="accent2"/>
      </w:tblBorders>
    </w:tblPr>
    <w:tblStylePr w:type="firstRow">
      <w:pPr>
        <w:spacing w:before="0" w:after="0" w:line="240" w:lineRule="auto"/>
      </w:pPr>
      <w:rPr>
        <w:b/>
        <w:bCs/>
      </w:rPr>
      <w:tblPr/>
      <w:tcPr>
        <w:tcBorders>
          <w:top w:val="single" w:sz="8" w:space="0" w:color="E97132" w:themeColor="accent2"/>
          <w:left w:val="nil"/>
          <w:bottom w:val="single" w:sz="8" w:space="0" w:color="E97132" w:themeColor="accent2"/>
          <w:right w:val="nil"/>
          <w:insideH w:val="nil"/>
          <w:insideV w:val="nil"/>
        </w:tcBorders>
      </w:tcPr>
    </w:tblStylePr>
    <w:tblStylePr w:type="lastRow">
      <w:pPr>
        <w:spacing w:before="0" w:after="0" w:line="240" w:lineRule="auto"/>
      </w:pPr>
      <w:rPr>
        <w:b/>
        <w:bCs/>
      </w:rPr>
      <w:tblPr/>
      <w:tcPr>
        <w:tcBorders>
          <w:top w:val="single" w:sz="8" w:space="0" w:color="E97132" w:themeColor="accent2"/>
          <w:left w:val="nil"/>
          <w:bottom w:val="single" w:sz="8" w:space="0" w:color="E97132"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9DBCC" w:themeFill="accent2" w:themeFillTint="3F"/>
      </w:tcPr>
    </w:tblStylePr>
    <w:tblStylePr w:type="band1Horz">
      <w:tblPr/>
      <w:tcPr>
        <w:tcBorders>
          <w:left w:val="nil"/>
          <w:right w:val="nil"/>
          <w:insideH w:val="nil"/>
          <w:insideV w:val="nil"/>
        </w:tcBorders>
        <w:shd w:val="clear" w:color="auto" w:fill="F9DBCC" w:themeFill="accent2" w:themeFillTint="3F"/>
      </w:tcPr>
    </w:tblStylePr>
  </w:style>
  <w:style w:type="table" w:styleId="LightShading-Accent3">
    <w:name w:val="Light Shading Accent 3"/>
    <w:basedOn w:val="TableNormal"/>
    <w:uiPriority w:val="60"/>
    <w:semiHidden/>
    <w:unhideWhenUsed/>
    <w:rsid w:val="00C30033"/>
    <w:pPr>
      <w:spacing w:after="0" w:line="240" w:lineRule="auto"/>
    </w:pPr>
    <w:rPr>
      <w:color w:val="124F1A" w:themeColor="accent3" w:themeShade="BF"/>
      <w:kern w:val="0"/>
      <w:sz w:val="22"/>
      <w:szCs w:val="22"/>
      <w:lang w:val="en-GB"/>
      <w14:ligatures w14:val="none"/>
    </w:rPr>
    <w:tblPr>
      <w:tblStyleRowBandSize w:val="1"/>
      <w:tblStyleColBandSize w:val="1"/>
      <w:tblBorders>
        <w:top w:val="single" w:sz="8" w:space="0" w:color="196B24" w:themeColor="accent3"/>
        <w:bottom w:val="single" w:sz="8" w:space="0" w:color="196B24" w:themeColor="accent3"/>
      </w:tblBorders>
    </w:tblPr>
    <w:tblStylePr w:type="firstRow">
      <w:pPr>
        <w:spacing w:before="0" w:after="0" w:line="240" w:lineRule="auto"/>
      </w:pPr>
      <w:rPr>
        <w:b/>
        <w:bCs/>
      </w:rPr>
      <w:tblPr/>
      <w:tcPr>
        <w:tcBorders>
          <w:top w:val="single" w:sz="8" w:space="0" w:color="196B24" w:themeColor="accent3"/>
          <w:left w:val="nil"/>
          <w:bottom w:val="single" w:sz="8" w:space="0" w:color="196B24" w:themeColor="accent3"/>
          <w:right w:val="nil"/>
          <w:insideH w:val="nil"/>
          <w:insideV w:val="nil"/>
        </w:tcBorders>
      </w:tcPr>
    </w:tblStylePr>
    <w:tblStylePr w:type="lastRow">
      <w:pPr>
        <w:spacing w:before="0" w:after="0" w:line="240" w:lineRule="auto"/>
      </w:pPr>
      <w:rPr>
        <w:b/>
        <w:bCs/>
      </w:rPr>
      <w:tblPr/>
      <w:tcPr>
        <w:tcBorders>
          <w:top w:val="single" w:sz="8" w:space="0" w:color="196B24" w:themeColor="accent3"/>
          <w:left w:val="nil"/>
          <w:bottom w:val="single" w:sz="8" w:space="0" w:color="196B24"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3EDBA" w:themeFill="accent3" w:themeFillTint="3F"/>
      </w:tcPr>
    </w:tblStylePr>
    <w:tblStylePr w:type="band1Horz">
      <w:tblPr/>
      <w:tcPr>
        <w:tcBorders>
          <w:left w:val="nil"/>
          <w:right w:val="nil"/>
          <w:insideH w:val="nil"/>
          <w:insideV w:val="nil"/>
        </w:tcBorders>
        <w:shd w:val="clear" w:color="auto" w:fill="B3EDBA" w:themeFill="accent3" w:themeFillTint="3F"/>
      </w:tcPr>
    </w:tblStylePr>
  </w:style>
  <w:style w:type="table" w:styleId="LightShading-Accent4">
    <w:name w:val="Light Shading Accent 4"/>
    <w:basedOn w:val="TableNormal"/>
    <w:uiPriority w:val="60"/>
    <w:semiHidden/>
    <w:unhideWhenUsed/>
    <w:rsid w:val="00C30033"/>
    <w:pPr>
      <w:spacing w:after="0" w:line="240" w:lineRule="auto"/>
    </w:pPr>
    <w:rPr>
      <w:color w:val="0B769F" w:themeColor="accent4" w:themeShade="BF"/>
      <w:kern w:val="0"/>
      <w:sz w:val="22"/>
      <w:szCs w:val="22"/>
      <w:lang w:val="en-GB"/>
      <w14:ligatures w14:val="none"/>
    </w:rPr>
    <w:tblPr>
      <w:tblStyleRowBandSize w:val="1"/>
      <w:tblStyleColBandSize w:val="1"/>
      <w:tblBorders>
        <w:top w:val="single" w:sz="8" w:space="0" w:color="0F9ED5" w:themeColor="accent4"/>
        <w:bottom w:val="single" w:sz="8" w:space="0" w:color="0F9ED5" w:themeColor="accent4"/>
      </w:tblBorders>
    </w:tblPr>
    <w:tblStylePr w:type="firstRow">
      <w:pPr>
        <w:spacing w:before="0" w:after="0" w:line="240" w:lineRule="auto"/>
      </w:pPr>
      <w:rPr>
        <w:b/>
        <w:bCs/>
      </w:rPr>
      <w:tblPr/>
      <w:tcPr>
        <w:tcBorders>
          <w:top w:val="single" w:sz="8" w:space="0" w:color="0F9ED5" w:themeColor="accent4"/>
          <w:left w:val="nil"/>
          <w:bottom w:val="single" w:sz="8" w:space="0" w:color="0F9ED5" w:themeColor="accent4"/>
          <w:right w:val="nil"/>
          <w:insideH w:val="nil"/>
          <w:insideV w:val="nil"/>
        </w:tcBorders>
      </w:tcPr>
    </w:tblStylePr>
    <w:tblStylePr w:type="lastRow">
      <w:pPr>
        <w:spacing w:before="0" w:after="0" w:line="240" w:lineRule="auto"/>
      </w:pPr>
      <w:rPr>
        <w:b/>
        <w:bCs/>
      </w:rPr>
      <w:tblPr/>
      <w:tcPr>
        <w:tcBorders>
          <w:top w:val="single" w:sz="8" w:space="0" w:color="0F9ED5" w:themeColor="accent4"/>
          <w:left w:val="nil"/>
          <w:bottom w:val="single" w:sz="8" w:space="0" w:color="0F9ED5"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DE9FA" w:themeFill="accent4" w:themeFillTint="3F"/>
      </w:tcPr>
    </w:tblStylePr>
    <w:tblStylePr w:type="band1Horz">
      <w:tblPr/>
      <w:tcPr>
        <w:tcBorders>
          <w:left w:val="nil"/>
          <w:right w:val="nil"/>
          <w:insideH w:val="nil"/>
          <w:insideV w:val="nil"/>
        </w:tcBorders>
        <w:shd w:val="clear" w:color="auto" w:fill="BDE9FA" w:themeFill="accent4" w:themeFillTint="3F"/>
      </w:tcPr>
    </w:tblStylePr>
  </w:style>
  <w:style w:type="table" w:styleId="LightShading-Accent5">
    <w:name w:val="Light Shading Accent 5"/>
    <w:basedOn w:val="TableNormal"/>
    <w:uiPriority w:val="60"/>
    <w:semiHidden/>
    <w:unhideWhenUsed/>
    <w:rsid w:val="00C30033"/>
    <w:pPr>
      <w:spacing w:after="0" w:line="240" w:lineRule="auto"/>
    </w:pPr>
    <w:rPr>
      <w:color w:val="77206D" w:themeColor="accent5" w:themeShade="BF"/>
      <w:kern w:val="0"/>
      <w:sz w:val="22"/>
      <w:szCs w:val="22"/>
      <w:lang w:val="en-GB"/>
      <w14:ligatures w14:val="none"/>
    </w:rPr>
    <w:tblPr>
      <w:tblStyleRowBandSize w:val="1"/>
      <w:tblStyleColBandSize w:val="1"/>
      <w:tblBorders>
        <w:top w:val="single" w:sz="8" w:space="0" w:color="A02B93" w:themeColor="accent5"/>
        <w:bottom w:val="single" w:sz="8" w:space="0" w:color="A02B93" w:themeColor="accent5"/>
      </w:tblBorders>
    </w:tblPr>
    <w:tblStylePr w:type="firstRow">
      <w:pPr>
        <w:spacing w:before="0" w:after="0" w:line="240" w:lineRule="auto"/>
      </w:pPr>
      <w:rPr>
        <w:b/>
        <w:bCs/>
      </w:rPr>
      <w:tblPr/>
      <w:tcPr>
        <w:tcBorders>
          <w:top w:val="single" w:sz="8" w:space="0" w:color="A02B93" w:themeColor="accent5"/>
          <w:left w:val="nil"/>
          <w:bottom w:val="single" w:sz="8" w:space="0" w:color="A02B93" w:themeColor="accent5"/>
          <w:right w:val="nil"/>
          <w:insideH w:val="nil"/>
          <w:insideV w:val="nil"/>
        </w:tcBorders>
      </w:tcPr>
    </w:tblStylePr>
    <w:tblStylePr w:type="lastRow">
      <w:pPr>
        <w:spacing w:before="0" w:after="0" w:line="240" w:lineRule="auto"/>
      </w:pPr>
      <w:rPr>
        <w:b/>
        <w:bCs/>
      </w:rPr>
      <w:tblPr/>
      <w:tcPr>
        <w:tcBorders>
          <w:top w:val="single" w:sz="8" w:space="0" w:color="A02B93" w:themeColor="accent5"/>
          <w:left w:val="nil"/>
          <w:bottom w:val="single" w:sz="8" w:space="0" w:color="A02B93"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C3E9" w:themeFill="accent5" w:themeFillTint="3F"/>
      </w:tcPr>
    </w:tblStylePr>
    <w:tblStylePr w:type="band1Horz">
      <w:tblPr/>
      <w:tcPr>
        <w:tcBorders>
          <w:left w:val="nil"/>
          <w:right w:val="nil"/>
          <w:insideH w:val="nil"/>
          <w:insideV w:val="nil"/>
        </w:tcBorders>
        <w:shd w:val="clear" w:color="auto" w:fill="EFC3E9" w:themeFill="accent5" w:themeFillTint="3F"/>
      </w:tcPr>
    </w:tblStylePr>
  </w:style>
  <w:style w:type="table" w:styleId="LightShading-Accent6">
    <w:name w:val="Light Shading Accent 6"/>
    <w:basedOn w:val="TableNormal"/>
    <w:uiPriority w:val="60"/>
    <w:semiHidden/>
    <w:unhideWhenUsed/>
    <w:rsid w:val="00C30033"/>
    <w:pPr>
      <w:spacing w:after="0" w:line="240" w:lineRule="auto"/>
    </w:pPr>
    <w:rPr>
      <w:color w:val="3A7C22" w:themeColor="accent6" w:themeShade="BF"/>
      <w:kern w:val="0"/>
      <w:sz w:val="22"/>
      <w:szCs w:val="22"/>
      <w:lang w:val="en-GB"/>
      <w14:ligatures w14:val="none"/>
    </w:rPr>
    <w:tblPr>
      <w:tblStyleRowBandSize w:val="1"/>
      <w:tblStyleColBandSize w:val="1"/>
      <w:tblBorders>
        <w:top w:val="single" w:sz="8" w:space="0" w:color="4EA72E" w:themeColor="accent6"/>
        <w:bottom w:val="single" w:sz="8" w:space="0" w:color="4EA72E" w:themeColor="accent6"/>
      </w:tblBorders>
    </w:tblPr>
    <w:tblStylePr w:type="firstRow">
      <w:pPr>
        <w:spacing w:before="0" w:after="0" w:line="240" w:lineRule="auto"/>
      </w:pPr>
      <w:rPr>
        <w:b/>
        <w:bCs/>
      </w:rPr>
      <w:tblPr/>
      <w:tcPr>
        <w:tcBorders>
          <w:top w:val="single" w:sz="8" w:space="0" w:color="4EA72E" w:themeColor="accent6"/>
          <w:left w:val="nil"/>
          <w:bottom w:val="single" w:sz="8" w:space="0" w:color="4EA72E" w:themeColor="accent6"/>
          <w:right w:val="nil"/>
          <w:insideH w:val="nil"/>
          <w:insideV w:val="nil"/>
        </w:tcBorders>
      </w:tcPr>
    </w:tblStylePr>
    <w:tblStylePr w:type="lastRow">
      <w:pPr>
        <w:spacing w:before="0" w:after="0" w:line="240" w:lineRule="auto"/>
      </w:pPr>
      <w:rPr>
        <w:b/>
        <w:bCs/>
      </w:rPr>
      <w:tblPr/>
      <w:tcPr>
        <w:tcBorders>
          <w:top w:val="single" w:sz="8" w:space="0" w:color="4EA72E" w:themeColor="accent6"/>
          <w:left w:val="nil"/>
          <w:bottom w:val="single" w:sz="8" w:space="0" w:color="4EA72E"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EFC5" w:themeFill="accent6" w:themeFillTint="3F"/>
      </w:tcPr>
    </w:tblStylePr>
    <w:tblStylePr w:type="band1Horz">
      <w:tblPr/>
      <w:tcPr>
        <w:tcBorders>
          <w:left w:val="nil"/>
          <w:right w:val="nil"/>
          <w:insideH w:val="nil"/>
          <w:insideV w:val="nil"/>
        </w:tcBorders>
        <w:shd w:val="clear" w:color="auto" w:fill="D0EFC5" w:themeFill="accent6" w:themeFillTint="3F"/>
      </w:tcPr>
    </w:tblStylePr>
  </w:style>
  <w:style w:type="table" w:styleId="ListTable1Light">
    <w:name w:val="List Table 1 Light"/>
    <w:basedOn w:val="TableNormal"/>
    <w:uiPriority w:val="46"/>
    <w:rsid w:val="00C30033"/>
    <w:pPr>
      <w:spacing w:before="160" w:after="0" w:line="240" w:lineRule="auto"/>
    </w:pPr>
    <w:rPr>
      <w:kern w:val="0"/>
      <w:sz w:val="22"/>
      <w:szCs w:val="22"/>
      <w:lang w:val="en-GB"/>
      <w14:ligatures w14:val="none"/>
    </w:r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46"/>
    <w:rsid w:val="00C30033"/>
    <w:pPr>
      <w:spacing w:before="160" w:after="0" w:line="240" w:lineRule="auto"/>
    </w:pPr>
    <w:rPr>
      <w:kern w:val="0"/>
      <w:sz w:val="22"/>
      <w:szCs w:val="22"/>
      <w:lang w:val="en-GB"/>
      <w14:ligatures w14:val="none"/>
    </w:rPr>
    <w:tblPr>
      <w:tblStyleRowBandSize w:val="1"/>
      <w:tblStyleColBandSize w:val="1"/>
    </w:tblPr>
    <w:tblStylePr w:type="firstRow">
      <w:rPr>
        <w:b/>
        <w:bCs/>
      </w:rPr>
      <w:tblPr/>
      <w:tcPr>
        <w:tcBorders>
          <w:bottom w:val="single" w:sz="4" w:space="0" w:color="45B0E1" w:themeColor="accent1" w:themeTint="99"/>
        </w:tcBorders>
      </w:tcPr>
    </w:tblStylePr>
    <w:tblStylePr w:type="lastRow">
      <w:rPr>
        <w:b/>
        <w:bCs/>
      </w:rPr>
      <w:tblPr/>
      <w:tcPr>
        <w:tcBorders>
          <w:top w:val="single" w:sz="4" w:space="0" w:color="45B0E1" w:themeColor="accent1" w:themeTint="99"/>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styleId="ListTable1Light-Accent2">
    <w:name w:val="List Table 1 Light Accent 2"/>
    <w:basedOn w:val="TableNormal"/>
    <w:uiPriority w:val="46"/>
    <w:rsid w:val="00C30033"/>
    <w:pPr>
      <w:spacing w:before="160" w:after="0" w:line="240" w:lineRule="auto"/>
    </w:pPr>
    <w:rPr>
      <w:kern w:val="0"/>
      <w:sz w:val="22"/>
      <w:szCs w:val="22"/>
      <w:lang w:val="en-GB"/>
      <w14:ligatures w14:val="none"/>
    </w:rPr>
    <w:tblPr>
      <w:tblStyleRowBandSize w:val="1"/>
      <w:tblStyleColBandSize w:val="1"/>
    </w:tblPr>
    <w:tblStylePr w:type="firstRow">
      <w:rPr>
        <w:b/>
        <w:bCs/>
      </w:rPr>
      <w:tblPr/>
      <w:tcPr>
        <w:tcBorders>
          <w:bottom w:val="single" w:sz="4" w:space="0" w:color="F1A983" w:themeColor="accent2" w:themeTint="99"/>
        </w:tcBorders>
      </w:tcPr>
    </w:tblStylePr>
    <w:tblStylePr w:type="lastRow">
      <w:rPr>
        <w:b/>
        <w:bCs/>
      </w:rPr>
      <w:tblPr/>
      <w:tcPr>
        <w:tcBorders>
          <w:top w:val="single" w:sz="4" w:space="0" w:color="F1A983" w:themeColor="accent2" w:themeTint="99"/>
        </w:tcBorders>
      </w:tcPr>
    </w:tblStylePr>
    <w:tblStylePr w:type="firstCol">
      <w:rPr>
        <w:b/>
        <w:bCs/>
      </w:rPr>
    </w:tblStylePr>
    <w:tblStylePr w:type="lastCol">
      <w:rPr>
        <w:b/>
        <w:bCs/>
      </w:rPr>
    </w:tblStylePr>
    <w:tblStylePr w:type="band1Vert">
      <w:tblPr/>
      <w:tcPr>
        <w:shd w:val="clear" w:color="auto" w:fill="FAE2D5" w:themeFill="accent2" w:themeFillTint="33"/>
      </w:tcPr>
    </w:tblStylePr>
    <w:tblStylePr w:type="band1Horz">
      <w:tblPr/>
      <w:tcPr>
        <w:shd w:val="clear" w:color="auto" w:fill="FAE2D5" w:themeFill="accent2" w:themeFillTint="33"/>
      </w:tcPr>
    </w:tblStylePr>
  </w:style>
  <w:style w:type="table" w:styleId="ListTable1Light-Accent3">
    <w:name w:val="List Table 1 Light Accent 3"/>
    <w:basedOn w:val="TableNormal"/>
    <w:uiPriority w:val="46"/>
    <w:rsid w:val="00C30033"/>
    <w:pPr>
      <w:spacing w:before="160" w:after="0" w:line="240" w:lineRule="auto"/>
    </w:pPr>
    <w:rPr>
      <w:kern w:val="0"/>
      <w:sz w:val="22"/>
      <w:szCs w:val="22"/>
      <w:lang w:val="en-GB"/>
      <w14:ligatures w14:val="none"/>
    </w:rPr>
    <w:tblPr>
      <w:tblStyleRowBandSize w:val="1"/>
      <w:tblStyleColBandSize w:val="1"/>
    </w:tblPr>
    <w:tblStylePr w:type="firstRow">
      <w:rPr>
        <w:b/>
        <w:bCs/>
      </w:rPr>
      <w:tblPr/>
      <w:tcPr>
        <w:tcBorders>
          <w:bottom w:val="single" w:sz="4" w:space="0" w:color="47D459" w:themeColor="accent3" w:themeTint="99"/>
        </w:tcBorders>
      </w:tcPr>
    </w:tblStylePr>
    <w:tblStylePr w:type="lastRow">
      <w:rPr>
        <w:b/>
        <w:bCs/>
      </w:rPr>
      <w:tblPr/>
      <w:tcPr>
        <w:tcBorders>
          <w:top w:val="single" w:sz="4" w:space="0" w:color="47D459" w:themeColor="accent3" w:themeTint="99"/>
        </w:tcBorders>
      </w:tc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styleId="ListTable1Light-Accent4">
    <w:name w:val="List Table 1 Light Accent 4"/>
    <w:basedOn w:val="TableNormal"/>
    <w:uiPriority w:val="46"/>
    <w:rsid w:val="00C30033"/>
    <w:pPr>
      <w:spacing w:before="160" w:after="0" w:line="240" w:lineRule="auto"/>
    </w:pPr>
    <w:rPr>
      <w:kern w:val="0"/>
      <w:sz w:val="22"/>
      <w:szCs w:val="22"/>
      <w:lang w:val="en-GB"/>
      <w14:ligatures w14:val="none"/>
    </w:rPr>
    <w:tblPr>
      <w:tblStyleRowBandSize w:val="1"/>
      <w:tblStyleColBandSize w:val="1"/>
    </w:tblPr>
    <w:tblStylePr w:type="firstRow">
      <w:rPr>
        <w:b/>
        <w:bCs/>
      </w:rPr>
      <w:tblPr/>
      <w:tcPr>
        <w:tcBorders>
          <w:bottom w:val="single" w:sz="4" w:space="0" w:color="60CAF3" w:themeColor="accent4" w:themeTint="99"/>
        </w:tcBorders>
      </w:tcPr>
    </w:tblStylePr>
    <w:tblStylePr w:type="lastRow">
      <w:rPr>
        <w:b/>
        <w:bCs/>
      </w:rPr>
      <w:tblPr/>
      <w:tcPr>
        <w:tcBorders>
          <w:top w:val="single" w:sz="4" w:space="0" w:color="60CAF3" w:themeColor="accent4" w:themeTint="99"/>
        </w:tcBorders>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styleId="ListTable1Light-Accent5">
    <w:name w:val="List Table 1 Light Accent 5"/>
    <w:basedOn w:val="TableNormal"/>
    <w:uiPriority w:val="46"/>
    <w:rsid w:val="00C30033"/>
    <w:pPr>
      <w:spacing w:before="160" w:after="0" w:line="240" w:lineRule="auto"/>
    </w:pPr>
    <w:rPr>
      <w:kern w:val="0"/>
      <w:sz w:val="22"/>
      <w:szCs w:val="22"/>
      <w:lang w:val="en-GB"/>
      <w14:ligatures w14:val="none"/>
    </w:rPr>
    <w:tblPr>
      <w:tblStyleRowBandSize w:val="1"/>
      <w:tblStyleColBandSize w:val="1"/>
    </w:tblPr>
    <w:tblStylePr w:type="firstRow">
      <w:rPr>
        <w:b/>
        <w:bCs/>
      </w:rPr>
      <w:tblPr/>
      <w:tcPr>
        <w:tcBorders>
          <w:bottom w:val="single" w:sz="4" w:space="0" w:color="D86DCB" w:themeColor="accent5" w:themeTint="99"/>
        </w:tcBorders>
      </w:tcPr>
    </w:tblStylePr>
    <w:tblStylePr w:type="lastRow">
      <w:rPr>
        <w:b/>
        <w:bCs/>
      </w:rPr>
      <w:tblPr/>
      <w:tcPr>
        <w:tcBorders>
          <w:top w:val="single" w:sz="4" w:space="0" w:color="D86DCB" w:themeColor="accent5" w:themeTint="99"/>
        </w:tcBorders>
      </w:tcPr>
    </w:tblStylePr>
    <w:tblStylePr w:type="firstCol">
      <w:rPr>
        <w:b/>
        <w:bCs/>
      </w:rPr>
    </w:tblStylePr>
    <w:tblStylePr w:type="lastCol">
      <w:rPr>
        <w:b/>
        <w:bCs/>
      </w:rPr>
    </w:tblStylePr>
    <w:tblStylePr w:type="band1Vert">
      <w:tblPr/>
      <w:tcPr>
        <w:shd w:val="clear" w:color="auto" w:fill="F2CEED" w:themeFill="accent5" w:themeFillTint="33"/>
      </w:tcPr>
    </w:tblStylePr>
    <w:tblStylePr w:type="band1Horz">
      <w:tblPr/>
      <w:tcPr>
        <w:shd w:val="clear" w:color="auto" w:fill="F2CEED" w:themeFill="accent5" w:themeFillTint="33"/>
      </w:tcPr>
    </w:tblStylePr>
  </w:style>
  <w:style w:type="table" w:styleId="ListTable1Light-Accent6">
    <w:name w:val="List Table 1 Light Accent 6"/>
    <w:basedOn w:val="TableNormal"/>
    <w:uiPriority w:val="46"/>
    <w:rsid w:val="00C30033"/>
    <w:pPr>
      <w:spacing w:before="160" w:after="0" w:line="240" w:lineRule="auto"/>
    </w:pPr>
    <w:rPr>
      <w:kern w:val="0"/>
      <w:sz w:val="22"/>
      <w:szCs w:val="22"/>
      <w:lang w:val="en-GB"/>
      <w14:ligatures w14:val="none"/>
    </w:rPr>
    <w:tblPr>
      <w:tblStyleRowBandSize w:val="1"/>
      <w:tblStyleColBandSize w:val="1"/>
    </w:tblPr>
    <w:tblStylePr w:type="firstRow">
      <w:rPr>
        <w:b/>
        <w:bCs/>
      </w:rPr>
      <w:tblPr/>
      <w:tcPr>
        <w:tcBorders>
          <w:bottom w:val="single" w:sz="4" w:space="0" w:color="8DD873" w:themeColor="accent6" w:themeTint="99"/>
        </w:tcBorders>
      </w:tcPr>
    </w:tblStylePr>
    <w:tblStylePr w:type="lastRow">
      <w:rPr>
        <w:b/>
        <w:bCs/>
      </w:rPr>
      <w:tblPr/>
      <w:tcPr>
        <w:tcBorders>
          <w:top w:val="single" w:sz="4" w:space="0" w:color="8DD873" w:themeColor="accent6" w:themeTint="99"/>
        </w:tcBorders>
      </w:tcPr>
    </w:tblStylePr>
    <w:tblStylePr w:type="firstCol">
      <w:rPr>
        <w:b/>
        <w:bCs/>
      </w:rPr>
    </w:tblStylePr>
    <w:tblStylePr w:type="lastCol">
      <w:rPr>
        <w:b/>
        <w:bCs/>
      </w:rPr>
    </w:tblStylePr>
    <w:tblStylePr w:type="band1Vert">
      <w:tblPr/>
      <w:tcPr>
        <w:shd w:val="clear" w:color="auto" w:fill="D9F2D0" w:themeFill="accent6" w:themeFillTint="33"/>
      </w:tcPr>
    </w:tblStylePr>
    <w:tblStylePr w:type="band1Horz">
      <w:tblPr/>
      <w:tcPr>
        <w:shd w:val="clear" w:color="auto" w:fill="D9F2D0" w:themeFill="accent6" w:themeFillTint="33"/>
      </w:tcPr>
    </w:tblStylePr>
  </w:style>
  <w:style w:type="table" w:styleId="ListTable2">
    <w:name w:val="List Table 2"/>
    <w:basedOn w:val="TableNormal"/>
    <w:uiPriority w:val="47"/>
    <w:rsid w:val="00C30033"/>
    <w:pPr>
      <w:spacing w:before="160" w:after="0" w:line="240" w:lineRule="auto"/>
    </w:pPr>
    <w:rPr>
      <w:kern w:val="0"/>
      <w:sz w:val="22"/>
      <w:szCs w:val="22"/>
      <w:lang w:val="en-GB"/>
      <w14:ligatures w14:val="none"/>
    </w:r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1">
    <w:name w:val="List Table 2 Accent 1"/>
    <w:basedOn w:val="TableNormal"/>
    <w:uiPriority w:val="47"/>
    <w:rsid w:val="00C30033"/>
    <w:pPr>
      <w:spacing w:before="160" w:after="0" w:line="240" w:lineRule="auto"/>
    </w:pPr>
    <w:rPr>
      <w:kern w:val="0"/>
      <w:sz w:val="22"/>
      <w:szCs w:val="22"/>
      <w:lang w:val="en-GB"/>
      <w14:ligatures w14:val="none"/>
    </w:rPr>
    <w:tblPr>
      <w:tblStyleRowBandSize w:val="1"/>
      <w:tblStyleColBandSize w:val="1"/>
      <w:tblBorders>
        <w:top w:val="single" w:sz="4" w:space="0" w:color="45B0E1" w:themeColor="accent1" w:themeTint="99"/>
        <w:bottom w:val="single" w:sz="4" w:space="0" w:color="45B0E1" w:themeColor="accent1" w:themeTint="99"/>
        <w:insideH w:val="single" w:sz="4" w:space="0" w:color="45B0E1"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styleId="ListTable2-Accent2">
    <w:name w:val="List Table 2 Accent 2"/>
    <w:basedOn w:val="TableNormal"/>
    <w:uiPriority w:val="47"/>
    <w:rsid w:val="00C30033"/>
    <w:pPr>
      <w:spacing w:before="160" w:after="0" w:line="240" w:lineRule="auto"/>
    </w:pPr>
    <w:rPr>
      <w:kern w:val="0"/>
      <w:sz w:val="22"/>
      <w:szCs w:val="22"/>
      <w:lang w:val="en-GB"/>
      <w14:ligatures w14:val="none"/>
    </w:rPr>
    <w:tblPr>
      <w:tblStyleRowBandSize w:val="1"/>
      <w:tblStyleColBandSize w:val="1"/>
      <w:tblBorders>
        <w:top w:val="single" w:sz="4" w:space="0" w:color="F1A983" w:themeColor="accent2" w:themeTint="99"/>
        <w:bottom w:val="single" w:sz="4" w:space="0" w:color="F1A983" w:themeColor="accent2" w:themeTint="99"/>
        <w:insideH w:val="single" w:sz="4" w:space="0" w:color="F1A983"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AE2D5" w:themeFill="accent2" w:themeFillTint="33"/>
      </w:tcPr>
    </w:tblStylePr>
    <w:tblStylePr w:type="band1Horz">
      <w:tblPr/>
      <w:tcPr>
        <w:shd w:val="clear" w:color="auto" w:fill="FAE2D5" w:themeFill="accent2" w:themeFillTint="33"/>
      </w:tcPr>
    </w:tblStylePr>
  </w:style>
  <w:style w:type="table" w:styleId="ListTable2-Accent3">
    <w:name w:val="List Table 2 Accent 3"/>
    <w:basedOn w:val="TableNormal"/>
    <w:uiPriority w:val="47"/>
    <w:rsid w:val="00C30033"/>
    <w:pPr>
      <w:spacing w:before="160" w:after="0" w:line="240" w:lineRule="auto"/>
    </w:pPr>
    <w:rPr>
      <w:kern w:val="0"/>
      <w:sz w:val="22"/>
      <w:szCs w:val="22"/>
      <w:lang w:val="en-GB"/>
      <w14:ligatures w14:val="none"/>
    </w:rPr>
    <w:tblPr>
      <w:tblStyleRowBandSize w:val="1"/>
      <w:tblStyleColBandSize w:val="1"/>
      <w:tblBorders>
        <w:top w:val="single" w:sz="4" w:space="0" w:color="47D459" w:themeColor="accent3" w:themeTint="99"/>
        <w:bottom w:val="single" w:sz="4" w:space="0" w:color="47D459" w:themeColor="accent3" w:themeTint="99"/>
        <w:insideH w:val="single" w:sz="4" w:space="0" w:color="47D459"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styleId="ListTable2-Accent4">
    <w:name w:val="List Table 2 Accent 4"/>
    <w:basedOn w:val="TableNormal"/>
    <w:uiPriority w:val="47"/>
    <w:rsid w:val="00C30033"/>
    <w:pPr>
      <w:spacing w:before="160" w:after="0" w:line="240" w:lineRule="auto"/>
    </w:pPr>
    <w:rPr>
      <w:kern w:val="0"/>
      <w:sz w:val="22"/>
      <w:szCs w:val="22"/>
      <w:lang w:val="en-GB"/>
      <w14:ligatures w14:val="none"/>
    </w:rPr>
    <w:tblPr>
      <w:tblStyleRowBandSize w:val="1"/>
      <w:tblStyleColBandSize w:val="1"/>
      <w:tblBorders>
        <w:top w:val="single" w:sz="4" w:space="0" w:color="60CAF3" w:themeColor="accent4" w:themeTint="99"/>
        <w:bottom w:val="single" w:sz="4" w:space="0" w:color="60CAF3" w:themeColor="accent4" w:themeTint="99"/>
        <w:insideH w:val="single" w:sz="4" w:space="0" w:color="60CAF3"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styleId="ListTable2-Accent5">
    <w:name w:val="List Table 2 Accent 5"/>
    <w:basedOn w:val="TableNormal"/>
    <w:uiPriority w:val="47"/>
    <w:rsid w:val="00C30033"/>
    <w:pPr>
      <w:spacing w:before="160" w:after="0" w:line="240" w:lineRule="auto"/>
    </w:pPr>
    <w:rPr>
      <w:kern w:val="0"/>
      <w:sz w:val="22"/>
      <w:szCs w:val="22"/>
      <w:lang w:val="en-GB"/>
      <w14:ligatures w14:val="none"/>
    </w:rPr>
    <w:tblPr>
      <w:tblStyleRowBandSize w:val="1"/>
      <w:tblStyleColBandSize w:val="1"/>
      <w:tblBorders>
        <w:top w:val="single" w:sz="4" w:space="0" w:color="D86DCB" w:themeColor="accent5" w:themeTint="99"/>
        <w:bottom w:val="single" w:sz="4" w:space="0" w:color="D86DCB" w:themeColor="accent5" w:themeTint="99"/>
        <w:insideH w:val="single" w:sz="4" w:space="0" w:color="D86DCB"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CEED" w:themeFill="accent5" w:themeFillTint="33"/>
      </w:tcPr>
    </w:tblStylePr>
    <w:tblStylePr w:type="band1Horz">
      <w:tblPr/>
      <w:tcPr>
        <w:shd w:val="clear" w:color="auto" w:fill="F2CEED" w:themeFill="accent5" w:themeFillTint="33"/>
      </w:tcPr>
    </w:tblStylePr>
  </w:style>
  <w:style w:type="table" w:styleId="ListTable2-Accent6">
    <w:name w:val="List Table 2 Accent 6"/>
    <w:basedOn w:val="TableNormal"/>
    <w:uiPriority w:val="47"/>
    <w:rsid w:val="00C30033"/>
    <w:pPr>
      <w:spacing w:before="160" w:after="0" w:line="240" w:lineRule="auto"/>
    </w:pPr>
    <w:rPr>
      <w:kern w:val="0"/>
      <w:sz w:val="22"/>
      <w:szCs w:val="22"/>
      <w:lang w:val="en-GB"/>
      <w14:ligatures w14:val="none"/>
    </w:rPr>
    <w:tblPr>
      <w:tblStyleRowBandSize w:val="1"/>
      <w:tblStyleColBandSize w:val="1"/>
      <w:tblBorders>
        <w:top w:val="single" w:sz="4" w:space="0" w:color="8DD873" w:themeColor="accent6" w:themeTint="99"/>
        <w:bottom w:val="single" w:sz="4" w:space="0" w:color="8DD873" w:themeColor="accent6" w:themeTint="99"/>
        <w:insideH w:val="single" w:sz="4" w:space="0" w:color="8DD873"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F2D0" w:themeFill="accent6" w:themeFillTint="33"/>
      </w:tcPr>
    </w:tblStylePr>
    <w:tblStylePr w:type="band1Horz">
      <w:tblPr/>
      <w:tcPr>
        <w:shd w:val="clear" w:color="auto" w:fill="D9F2D0" w:themeFill="accent6" w:themeFillTint="33"/>
      </w:tcPr>
    </w:tblStylePr>
  </w:style>
  <w:style w:type="table" w:styleId="ListTable3">
    <w:name w:val="List Table 3"/>
    <w:basedOn w:val="TableNormal"/>
    <w:uiPriority w:val="48"/>
    <w:rsid w:val="00C30033"/>
    <w:pPr>
      <w:spacing w:before="160" w:after="0" w:line="240" w:lineRule="auto"/>
    </w:pPr>
    <w:rPr>
      <w:kern w:val="0"/>
      <w:sz w:val="22"/>
      <w:szCs w:val="22"/>
      <w:lang w:val="en-GB"/>
      <w14:ligatures w14:val="none"/>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uiPriority w:val="48"/>
    <w:rsid w:val="00C30033"/>
    <w:pPr>
      <w:spacing w:before="160" w:after="0" w:line="240" w:lineRule="auto"/>
    </w:pPr>
    <w:rPr>
      <w:kern w:val="0"/>
      <w:sz w:val="22"/>
      <w:szCs w:val="22"/>
      <w:lang w:val="en-GB"/>
      <w14:ligatures w14:val="none"/>
    </w:rPr>
    <w:tblPr>
      <w:tblStyleRowBandSize w:val="1"/>
      <w:tblStyleColBandSize w:val="1"/>
      <w:tblBorders>
        <w:top w:val="single" w:sz="4" w:space="0" w:color="156082" w:themeColor="accent1"/>
        <w:left w:val="single" w:sz="4" w:space="0" w:color="156082" w:themeColor="accent1"/>
        <w:bottom w:val="single" w:sz="4" w:space="0" w:color="156082" w:themeColor="accent1"/>
        <w:right w:val="single" w:sz="4" w:space="0" w:color="156082" w:themeColor="accent1"/>
      </w:tblBorders>
    </w:tblPr>
    <w:tblStylePr w:type="firstRow">
      <w:rPr>
        <w:b/>
        <w:bCs/>
        <w:color w:val="FFFFFF" w:themeColor="background1"/>
      </w:rPr>
      <w:tblPr/>
      <w:tcPr>
        <w:shd w:val="clear" w:color="auto" w:fill="156082" w:themeFill="accent1"/>
      </w:tcPr>
    </w:tblStylePr>
    <w:tblStylePr w:type="lastRow">
      <w:rPr>
        <w:b/>
        <w:bCs/>
      </w:rPr>
      <w:tblPr/>
      <w:tcPr>
        <w:tcBorders>
          <w:top w:val="double" w:sz="4" w:space="0" w:color="156082"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56082" w:themeColor="accent1"/>
          <w:right w:val="single" w:sz="4" w:space="0" w:color="156082" w:themeColor="accent1"/>
        </w:tcBorders>
      </w:tcPr>
    </w:tblStylePr>
    <w:tblStylePr w:type="band1Horz">
      <w:tblPr/>
      <w:tcPr>
        <w:tcBorders>
          <w:top w:val="single" w:sz="4" w:space="0" w:color="156082" w:themeColor="accent1"/>
          <w:bottom w:val="single" w:sz="4" w:space="0" w:color="156082"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56082" w:themeColor="accent1"/>
          <w:left w:val="nil"/>
        </w:tcBorders>
      </w:tcPr>
    </w:tblStylePr>
    <w:tblStylePr w:type="swCell">
      <w:tblPr/>
      <w:tcPr>
        <w:tcBorders>
          <w:top w:val="double" w:sz="4" w:space="0" w:color="156082" w:themeColor="accent1"/>
          <w:right w:val="nil"/>
        </w:tcBorders>
      </w:tcPr>
    </w:tblStylePr>
  </w:style>
  <w:style w:type="table" w:styleId="ListTable3-Accent2">
    <w:name w:val="List Table 3 Accent 2"/>
    <w:basedOn w:val="TableNormal"/>
    <w:uiPriority w:val="48"/>
    <w:rsid w:val="00C30033"/>
    <w:pPr>
      <w:spacing w:before="160" w:after="0" w:line="240" w:lineRule="auto"/>
    </w:pPr>
    <w:rPr>
      <w:kern w:val="0"/>
      <w:sz w:val="22"/>
      <w:szCs w:val="22"/>
      <w:lang w:val="en-GB"/>
      <w14:ligatures w14:val="none"/>
    </w:rPr>
    <w:tblPr>
      <w:tblStyleRowBandSize w:val="1"/>
      <w:tblStyleColBandSize w:val="1"/>
      <w:tblBorders>
        <w:top w:val="single" w:sz="4" w:space="0" w:color="E97132" w:themeColor="accent2"/>
        <w:left w:val="single" w:sz="4" w:space="0" w:color="E97132" w:themeColor="accent2"/>
        <w:bottom w:val="single" w:sz="4" w:space="0" w:color="E97132" w:themeColor="accent2"/>
        <w:right w:val="single" w:sz="4" w:space="0" w:color="E97132" w:themeColor="accent2"/>
      </w:tblBorders>
    </w:tblPr>
    <w:tblStylePr w:type="firstRow">
      <w:rPr>
        <w:b/>
        <w:bCs/>
        <w:color w:val="FFFFFF" w:themeColor="background1"/>
      </w:rPr>
      <w:tblPr/>
      <w:tcPr>
        <w:shd w:val="clear" w:color="auto" w:fill="E97132" w:themeFill="accent2"/>
      </w:tcPr>
    </w:tblStylePr>
    <w:tblStylePr w:type="lastRow">
      <w:rPr>
        <w:b/>
        <w:bCs/>
      </w:rPr>
      <w:tblPr/>
      <w:tcPr>
        <w:tcBorders>
          <w:top w:val="double" w:sz="4" w:space="0" w:color="E97132"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97132" w:themeColor="accent2"/>
          <w:right w:val="single" w:sz="4" w:space="0" w:color="E97132" w:themeColor="accent2"/>
        </w:tcBorders>
      </w:tcPr>
    </w:tblStylePr>
    <w:tblStylePr w:type="band1Horz">
      <w:tblPr/>
      <w:tcPr>
        <w:tcBorders>
          <w:top w:val="single" w:sz="4" w:space="0" w:color="E97132" w:themeColor="accent2"/>
          <w:bottom w:val="single" w:sz="4" w:space="0" w:color="E97132"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97132" w:themeColor="accent2"/>
          <w:left w:val="nil"/>
        </w:tcBorders>
      </w:tcPr>
    </w:tblStylePr>
    <w:tblStylePr w:type="swCell">
      <w:tblPr/>
      <w:tcPr>
        <w:tcBorders>
          <w:top w:val="double" w:sz="4" w:space="0" w:color="E97132" w:themeColor="accent2"/>
          <w:right w:val="nil"/>
        </w:tcBorders>
      </w:tcPr>
    </w:tblStylePr>
  </w:style>
  <w:style w:type="table" w:styleId="ListTable3-Accent3">
    <w:name w:val="List Table 3 Accent 3"/>
    <w:basedOn w:val="TableNormal"/>
    <w:uiPriority w:val="48"/>
    <w:rsid w:val="00C30033"/>
    <w:pPr>
      <w:spacing w:before="160" w:after="0" w:line="240" w:lineRule="auto"/>
    </w:pPr>
    <w:rPr>
      <w:kern w:val="0"/>
      <w:sz w:val="22"/>
      <w:szCs w:val="22"/>
      <w:lang w:val="en-GB"/>
      <w14:ligatures w14:val="none"/>
    </w:rPr>
    <w:tblPr>
      <w:tblStyleRowBandSize w:val="1"/>
      <w:tblStyleColBandSize w:val="1"/>
      <w:tblBorders>
        <w:top w:val="single" w:sz="4" w:space="0" w:color="196B24" w:themeColor="accent3"/>
        <w:left w:val="single" w:sz="4" w:space="0" w:color="196B24" w:themeColor="accent3"/>
        <w:bottom w:val="single" w:sz="4" w:space="0" w:color="196B24" w:themeColor="accent3"/>
        <w:right w:val="single" w:sz="4" w:space="0" w:color="196B24" w:themeColor="accent3"/>
      </w:tblBorders>
    </w:tblPr>
    <w:tblStylePr w:type="firstRow">
      <w:rPr>
        <w:b/>
        <w:bCs/>
        <w:color w:val="FFFFFF" w:themeColor="background1"/>
      </w:rPr>
      <w:tblPr/>
      <w:tcPr>
        <w:shd w:val="clear" w:color="auto" w:fill="196B24" w:themeFill="accent3"/>
      </w:tcPr>
    </w:tblStylePr>
    <w:tblStylePr w:type="lastRow">
      <w:rPr>
        <w:b/>
        <w:bCs/>
      </w:rPr>
      <w:tblPr/>
      <w:tcPr>
        <w:tcBorders>
          <w:top w:val="double" w:sz="4" w:space="0" w:color="196B24"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96B24" w:themeColor="accent3"/>
          <w:right w:val="single" w:sz="4" w:space="0" w:color="196B24" w:themeColor="accent3"/>
        </w:tcBorders>
      </w:tcPr>
    </w:tblStylePr>
    <w:tblStylePr w:type="band1Horz">
      <w:tblPr/>
      <w:tcPr>
        <w:tcBorders>
          <w:top w:val="single" w:sz="4" w:space="0" w:color="196B24" w:themeColor="accent3"/>
          <w:bottom w:val="single" w:sz="4" w:space="0" w:color="196B24"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96B24" w:themeColor="accent3"/>
          <w:left w:val="nil"/>
        </w:tcBorders>
      </w:tcPr>
    </w:tblStylePr>
    <w:tblStylePr w:type="swCell">
      <w:tblPr/>
      <w:tcPr>
        <w:tcBorders>
          <w:top w:val="double" w:sz="4" w:space="0" w:color="196B24" w:themeColor="accent3"/>
          <w:right w:val="nil"/>
        </w:tcBorders>
      </w:tcPr>
    </w:tblStylePr>
  </w:style>
  <w:style w:type="table" w:styleId="ListTable3-Accent4">
    <w:name w:val="List Table 3 Accent 4"/>
    <w:basedOn w:val="TableNormal"/>
    <w:uiPriority w:val="48"/>
    <w:rsid w:val="00C30033"/>
    <w:pPr>
      <w:spacing w:before="160" w:after="0" w:line="240" w:lineRule="auto"/>
    </w:pPr>
    <w:rPr>
      <w:kern w:val="0"/>
      <w:sz w:val="22"/>
      <w:szCs w:val="22"/>
      <w:lang w:val="en-GB"/>
      <w14:ligatures w14:val="none"/>
    </w:rPr>
    <w:tblPr>
      <w:tblStyleRowBandSize w:val="1"/>
      <w:tblStyleColBandSize w:val="1"/>
      <w:tblBorders>
        <w:top w:val="single" w:sz="4" w:space="0" w:color="0F9ED5" w:themeColor="accent4"/>
        <w:left w:val="single" w:sz="4" w:space="0" w:color="0F9ED5" w:themeColor="accent4"/>
        <w:bottom w:val="single" w:sz="4" w:space="0" w:color="0F9ED5" w:themeColor="accent4"/>
        <w:right w:val="single" w:sz="4" w:space="0" w:color="0F9ED5" w:themeColor="accent4"/>
      </w:tblBorders>
    </w:tblPr>
    <w:tblStylePr w:type="firstRow">
      <w:rPr>
        <w:b/>
        <w:bCs/>
        <w:color w:val="FFFFFF" w:themeColor="background1"/>
      </w:rPr>
      <w:tblPr/>
      <w:tcPr>
        <w:shd w:val="clear" w:color="auto" w:fill="0F9ED5" w:themeFill="accent4"/>
      </w:tcPr>
    </w:tblStylePr>
    <w:tblStylePr w:type="lastRow">
      <w:rPr>
        <w:b/>
        <w:bCs/>
      </w:rPr>
      <w:tblPr/>
      <w:tcPr>
        <w:tcBorders>
          <w:top w:val="double" w:sz="4" w:space="0" w:color="0F9ED5"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F9ED5" w:themeColor="accent4"/>
          <w:right w:val="single" w:sz="4" w:space="0" w:color="0F9ED5" w:themeColor="accent4"/>
        </w:tcBorders>
      </w:tcPr>
    </w:tblStylePr>
    <w:tblStylePr w:type="band1Horz">
      <w:tblPr/>
      <w:tcPr>
        <w:tcBorders>
          <w:top w:val="single" w:sz="4" w:space="0" w:color="0F9ED5" w:themeColor="accent4"/>
          <w:bottom w:val="single" w:sz="4" w:space="0" w:color="0F9ED5"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F9ED5" w:themeColor="accent4"/>
          <w:left w:val="nil"/>
        </w:tcBorders>
      </w:tcPr>
    </w:tblStylePr>
    <w:tblStylePr w:type="swCell">
      <w:tblPr/>
      <w:tcPr>
        <w:tcBorders>
          <w:top w:val="double" w:sz="4" w:space="0" w:color="0F9ED5" w:themeColor="accent4"/>
          <w:right w:val="nil"/>
        </w:tcBorders>
      </w:tcPr>
    </w:tblStylePr>
  </w:style>
  <w:style w:type="table" w:styleId="ListTable3-Accent5">
    <w:name w:val="List Table 3 Accent 5"/>
    <w:basedOn w:val="TableNormal"/>
    <w:uiPriority w:val="48"/>
    <w:rsid w:val="00C30033"/>
    <w:pPr>
      <w:spacing w:before="160" w:after="0" w:line="240" w:lineRule="auto"/>
    </w:pPr>
    <w:rPr>
      <w:kern w:val="0"/>
      <w:sz w:val="22"/>
      <w:szCs w:val="22"/>
      <w:lang w:val="en-GB"/>
      <w14:ligatures w14:val="none"/>
    </w:rPr>
    <w:tblPr>
      <w:tblStyleRowBandSize w:val="1"/>
      <w:tblStyleColBandSize w:val="1"/>
      <w:tblBorders>
        <w:top w:val="single" w:sz="4" w:space="0" w:color="A02B93" w:themeColor="accent5"/>
        <w:left w:val="single" w:sz="4" w:space="0" w:color="A02B93" w:themeColor="accent5"/>
        <w:bottom w:val="single" w:sz="4" w:space="0" w:color="A02B93" w:themeColor="accent5"/>
        <w:right w:val="single" w:sz="4" w:space="0" w:color="A02B93" w:themeColor="accent5"/>
      </w:tblBorders>
    </w:tblPr>
    <w:tblStylePr w:type="firstRow">
      <w:rPr>
        <w:b/>
        <w:bCs/>
        <w:color w:val="FFFFFF" w:themeColor="background1"/>
      </w:rPr>
      <w:tblPr/>
      <w:tcPr>
        <w:shd w:val="clear" w:color="auto" w:fill="A02B93" w:themeFill="accent5"/>
      </w:tcPr>
    </w:tblStylePr>
    <w:tblStylePr w:type="lastRow">
      <w:rPr>
        <w:b/>
        <w:bCs/>
      </w:rPr>
      <w:tblPr/>
      <w:tcPr>
        <w:tcBorders>
          <w:top w:val="double" w:sz="4" w:space="0" w:color="A02B93"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02B93" w:themeColor="accent5"/>
          <w:right w:val="single" w:sz="4" w:space="0" w:color="A02B93" w:themeColor="accent5"/>
        </w:tcBorders>
      </w:tcPr>
    </w:tblStylePr>
    <w:tblStylePr w:type="band1Horz">
      <w:tblPr/>
      <w:tcPr>
        <w:tcBorders>
          <w:top w:val="single" w:sz="4" w:space="0" w:color="A02B93" w:themeColor="accent5"/>
          <w:bottom w:val="single" w:sz="4" w:space="0" w:color="A02B93"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02B93" w:themeColor="accent5"/>
          <w:left w:val="nil"/>
        </w:tcBorders>
      </w:tcPr>
    </w:tblStylePr>
    <w:tblStylePr w:type="swCell">
      <w:tblPr/>
      <w:tcPr>
        <w:tcBorders>
          <w:top w:val="double" w:sz="4" w:space="0" w:color="A02B93" w:themeColor="accent5"/>
          <w:right w:val="nil"/>
        </w:tcBorders>
      </w:tcPr>
    </w:tblStylePr>
  </w:style>
  <w:style w:type="table" w:styleId="ListTable3-Accent6">
    <w:name w:val="List Table 3 Accent 6"/>
    <w:basedOn w:val="TableNormal"/>
    <w:uiPriority w:val="48"/>
    <w:rsid w:val="00C30033"/>
    <w:pPr>
      <w:spacing w:before="160" w:after="0" w:line="240" w:lineRule="auto"/>
    </w:pPr>
    <w:rPr>
      <w:kern w:val="0"/>
      <w:sz w:val="22"/>
      <w:szCs w:val="22"/>
      <w:lang w:val="en-GB"/>
      <w14:ligatures w14:val="none"/>
    </w:rPr>
    <w:tblPr>
      <w:tblStyleRowBandSize w:val="1"/>
      <w:tblStyleColBandSize w:val="1"/>
      <w:tblBorders>
        <w:top w:val="single" w:sz="4" w:space="0" w:color="4EA72E" w:themeColor="accent6"/>
        <w:left w:val="single" w:sz="4" w:space="0" w:color="4EA72E" w:themeColor="accent6"/>
        <w:bottom w:val="single" w:sz="4" w:space="0" w:color="4EA72E" w:themeColor="accent6"/>
        <w:right w:val="single" w:sz="4" w:space="0" w:color="4EA72E" w:themeColor="accent6"/>
      </w:tblBorders>
    </w:tblPr>
    <w:tblStylePr w:type="firstRow">
      <w:rPr>
        <w:b/>
        <w:bCs/>
        <w:color w:val="FFFFFF" w:themeColor="background1"/>
      </w:rPr>
      <w:tblPr/>
      <w:tcPr>
        <w:shd w:val="clear" w:color="auto" w:fill="4EA72E" w:themeFill="accent6"/>
      </w:tcPr>
    </w:tblStylePr>
    <w:tblStylePr w:type="lastRow">
      <w:rPr>
        <w:b/>
        <w:bCs/>
      </w:rPr>
      <w:tblPr/>
      <w:tcPr>
        <w:tcBorders>
          <w:top w:val="double" w:sz="4" w:space="0" w:color="4EA72E"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EA72E" w:themeColor="accent6"/>
          <w:right w:val="single" w:sz="4" w:space="0" w:color="4EA72E" w:themeColor="accent6"/>
        </w:tcBorders>
      </w:tcPr>
    </w:tblStylePr>
    <w:tblStylePr w:type="band1Horz">
      <w:tblPr/>
      <w:tcPr>
        <w:tcBorders>
          <w:top w:val="single" w:sz="4" w:space="0" w:color="4EA72E" w:themeColor="accent6"/>
          <w:bottom w:val="single" w:sz="4" w:space="0" w:color="4EA72E"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EA72E" w:themeColor="accent6"/>
          <w:left w:val="nil"/>
        </w:tcBorders>
      </w:tcPr>
    </w:tblStylePr>
    <w:tblStylePr w:type="swCell">
      <w:tblPr/>
      <w:tcPr>
        <w:tcBorders>
          <w:top w:val="double" w:sz="4" w:space="0" w:color="4EA72E" w:themeColor="accent6"/>
          <w:right w:val="nil"/>
        </w:tcBorders>
      </w:tcPr>
    </w:tblStylePr>
  </w:style>
  <w:style w:type="table" w:styleId="ListTable4">
    <w:name w:val="List Table 4"/>
    <w:basedOn w:val="TableNormal"/>
    <w:uiPriority w:val="49"/>
    <w:rsid w:val="00C30033"/>
    <w:pPr>
      <w:spacing w:before="160" w:after="0" w:line="240" w:lineRule="auto"/>
    </w:pPr>
    <w:rPr>
      <w:kern w:val="0"/>
      <w:sz w:val="22"/>
      <w:szCs w:val="22"/>
      <w:lang w:val="en-GB"/>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uiPriority w:val="49"/>
    <w:rsid w:val="00C30033"/>
    <w:pPr>
      <w:spacing w:before="160" w:after="0" w:line="240" w:lineRule="auto"/>
    </w:pPr>
    <w:rPr>
      <w:kern w:val="0"/>
      <w:sz w:val="22"/>
      <w:szCs w:val="22"/>
      <w:lang w:val="en-GB"/>
      <w14:ligatures w14:val="none"/>
    </w:r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tblBorders>
    </w:tblPr>
    <w:tblStylePr w:type="firstRow">
      <w:rPr>
        <w:b/>
        <w:bCs/>
        <w:color w:val="FFFFFF" w:themeColor="background1"/>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insideH w:val="nil"/>
        </w:tcBorders>
        <w:shd w:val="clear" w:color="auto" w:fill="156082" w:themeFill="accent1"/>
      </w:tcPr>
    </w:tblStylePr>
    <w:tblStylePr w:type="lastRow">
      <w:rPr>
        <w:b/>
        <w:bCs/>
      </w:rPr>
      <w:tblPr/>
      <w:tcPr>
        <w:tcBorders>
          <w:top w:val="double" w:sz="4" w:space="0" w:color="45B0E1" w:themeColor="accent1" w:themeTint="99"/>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styleId="ListTable4-Accent2">
    <w:name w:val="List Table 4 Accent 2"/>
    <w:basedOn w:val="TableNormal"/>
    <w:uiPriority w:val="49"/>
    <w:rsid w:val="00C30033"/>
    <w:pPr>
      <w:spacing w:before="160" w:after="0" w:line="240" w:lineRule="auto"/>
    </w:pPr>
    <w:rPr>
      <w:kern w:val="0"/>
      <w:sz w:val="22"/>
      <w:szCs w:val="22"/>
      <w:lang w:val="en-GB"/>
      <w14:ligatures w14:val="none"/>
    </w:rPr>
    <w:tblPr>
      <w:tblStyleRowBandSize w:val="1"/>
      <w:tblStyleColBandSize w:val="1"/>
      <w:tblBorders>
        <w:top w:val="single" w:sz="4" w:space="0" w:color="F1A983" w:themeColor="accent2" w:themeTint="99"/>
        <w:left w:val="single" w:sz="4" w:space="0" w:color="F1A983" w:themeColor="accent2" w:themeTint="99"/>
        <w:bottom w:val="single" w:sz="4" w:space="0" w:color="F1A983" w:themeColor="accent2" w:themeTint="99"/>
        <w:right w:val="single" w:sz="4" w:space="0" w:color="F1A983" w:themeColor="accent2" w:themeTint="99"/>
        <w:insideH w:val="single" w:sz="4" w:space="0" w:color="F1A983" w:themeColor="accent2" w:themeTint="99"/>
      </w:tblBorders>
    </w:tblPr>
    <w:tblStylePr w:type="firstRow">
      <w:rPr>
        <w:b/>
        <w:bCs/>
        <w:color w:val="FFFFFF" w:themeColor="background1"/>
      </w:rPr>
      <w:tblPr/>
      <w:tcPr>
        <w:tcBorders>
          <w:top w:val="single" w:sz="4" w:space="0" w:color="E97132" w:themeColor="accent2"/>
          <w:left w:val="single" w:sz="4" w:space="0" w:color="E97132" w:themeColor="accent2"/>
          <w:bottom w:val="single" w:sz="4" w:space="0" w:color="E97132" w:themeColor="accent2"/>
          <w:right w:val="single" w:sz="4" w:space="0" w:color="E97132" w:themeColor="accent2"/>
          <w:insideH w:val="nil"/>
        </w:tcBorders>
        <w:shd w:val="clear" w:color="auto" w:fill="E97132" w:themeFill="accent2"/>
      </w:tcPr>
    </w:tblStylePr>
    <w:tblStylePr w:type="lastRow">
      <w:rPr>
        <w:b/>
        <w:bCs/>
      </w:rPr>
      <w:tblPr/>
      <w:tcPr>
        <w:tcBorders>
          <w:top w:val="double" w:sz="4" w:space="0" w:color="F1A983" w:themeColor="accent2" w:themeTint="99"/>
        </w:tcBorders>
      </w:tcPr>
    </w:tblStylePr>
    <w:tblStylePr w:type="firstCol">
      <w:rPr>
        <w:b/>
        <w:bCs/>
      </w:rPr>
    </w:tblStylePr>
    <w:tblStylePr w:type="lastCol">
      <w:rPr>
        <w:b/>
        <w:bCs/>
      </w:rPr>
    </w:tblStylePr>
    <w:tblStylePr w:type="band1Vert">
      <w:tblPr/>
      <w:tcPr>
        <w:shd w:val="clear" w:color="auto" w:fill="FAE2D5" w:themeFill="accent2" w:themeFillTint="33"/>
      </w:tcPr>
    </w:tblStylePr>
    <w:tblStylePr w:type="band1Horz">
      <w:tblPr/>
      <w:tcPr>
        <w:shd w:val="clear" w:color="auto" w:fill="FAE2D5" w:themeFill="accent2" w:themeFillTint="33"/>
      </w:tcPr>
    </w:tblStylePr>
  </w:style>
  <w:style w:type="table" w:styleId="ListTable4-Accent3">
    <w:name w:val="List Table 4 Accent 3"/>
    <w:basedOn w:val="TableNormal"/>
    <w:uiPriority w:val="49"/>
    <w:rsid w:val="00C30033"/>
    <w:pPr>
      <w:spacing w:before="160" w:after="0" w:line="240" w:lineRule="auto"/>
    </w:pPr>
    <w:rPr>
      <w:kern w:val="0"/>
      <w:sz w:val="22"/>
      <w:szCs w:val="22"/>
      <w:lang w:val="en-GB"/>
      <w14:ligatures w14:val="none"/>
    </w:rPr>
    <w:tblPr>
      <w:tblStyleRowBandSize w:val="1"/>
      <w:tblStyleColBandSize w:val="1"/>
      <w:tblBorders>
        <w:top w:val="single" w:sz="4" w:space="0" w:color="47D459" w:themeColor="accent3" w:themeTint="99"/>
        <w:left w:val="single" w:sz="4" w:space="0" w:color="47D459" w:themeColor="accent3" w:themeTint="99"/>
        <w:bottom w:val="single" w:sz="4" w:space="0" w:color="47D459" w:themeColor="accent3" w:themeTint="99"/>
        <w:right w:val="single" w:sz="4" w:space="0" w:color="47D459" w:themeColor="accent3" w:themeTint="99"/>
        <w:insideH w:val="single" w:sz="4" w:space="0" w:color="47D459" w:themeColor="accent3" w:themeTint="99"/>
      </w:tblBorders>
    </w:tblPr>
    <w:tblStylePr w:type="firstRow">
      <w:rPr>
        <w:b/>
        <w:bCs/>
        <w:color w:val="FFFFFF" w:themeColor="background1"/>
      </w:rPr>
      <w:tblPr/>
      <w:tcPr>
        <w:tcBorders>
          <w:top w:val="single" w:sz="4" w:space="0" w:color="196B24" w:themeColor="accent3"/>
          <w:left w:val="single" w:sz="4" w:space="0" w:color="196B24" w:themeColor="accent3"/>
          <w:bottom w:val="single" w:sz="4" w:space="0" w:color="196B24" w:themeColor="accent3"/>
          <w:right w:val="single" w:sz="4" w:space="0" w:color="196B24" w:themeColor="accent3"/>
          <w:insideH w:val="nil"/>
        </w:tcBorders>
        <w:shd w:val="clear" w:color="auto" w:fill="196B24" w:themeFill="accent3"/>
      </w:tcPr>
    </w:tblStylePr>
    <w:tblStylePr w:type="lastRow">
      <w:rPr>
        <w:b/>
        <w:bCs/>
      </w:rPr>
      <w:tblPr/>
      <w:tcPr>
        <w:tcBorders>
          <w:top w:val="double" w:sz="4" w:space="0" w:color="47D459" w:themeColor="accent3" w:themeTint="99"/>
        </w:tcBorders>
      </w:tc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styleId="ListTable4-Accent4">
    <w:name w:val="List Table 4 Accent 4"/>
    <w:basedOn w:val="TableNormal"/>
    <w:uiPriority w:val="49"/>
    <w:rsid w:val="00C30033"/>
    <w:pPr>
      <w:spacing w:before="160" w:after="0" w:line="240" w:lineRule="auto"/>
    </w:pPr>
    <w:rPr>
      <w:kern w:val="0"/>
      <w:sz w:val="22"/>
      <w:szCs w:val="22"/>
      <w:lang w:val="en-GB"/>
      <w14:ligatures w14:val="none"/>
    </w:rPr>
    <w:tblPr>
      <w:tblStyleRowBandSize w:val="1"/>
      <w:tblStyleColBandSize w:val="1"/>
      <w:tblBorders>
        <w:top w:val="single" w:sz="4" w:space="0" w:color="60CAF3" w:themeColor="accent4" w:themeTint="99"/>
        <w:left w:val="single" w:sz="4" w:space="0" w:color="60CAF3" w:themeColor="accent4" w:themeTint="99"/>
        <w:bottom w:val="single" w:sz="4" w:space="0" w:color="60CAF3" w:themeColor="accent4" w:themeTint="99"/>
        <w:right w:val="single" w:sz="4" w:space="0" w:color="60CAF3" w:themeColor="accent4" w:themeTint="99"/>
        <w:insideH w:val="single" w:sz="4" w:space="0" w:color="60CAF3" w:themeColor="accent4" w:themeTint="99"/>
      </w:tblBorders>
    </w:tblPr>
    <w:tblStylePr w:type="firstRow">
      <w:rPr>
        <w:b/>
        <w:bCs/>
        <w:color w:val="FFFFFF" w:themeColor="background1"/>
      </w:rPr>
      <w:tblPr/>
      <w:tcPr>
        <w:tcBorders>
          <w:top w:val="single" w:sz="4" w:space="0" w:color="0F9ED5" w:themeColor="accent4"/>
          <w:left w:val="single" w:sz="4" w:space="0" w:color="0F9ED5" w:themeColor="accent4"/>
          <w:bottom w:val="single" w:sz="4" w:space="0" w:color="0F9ED5" w:themeColor="accent4"/>
          <w:right w:val="single" w:sz="4" w:space="0" w:color="0F9ED5" w:themeColor="accent4"/>
          <w:insideH w:val="nil"/>
        </w:tcBorders>
        <w:shd w:val="clear" w:color="auto" w:fill="0F9ED5" w:themeFill="accent4"/>
      </w:tcPr>
    </w:tblStylePr>
    <w:tblStylePr w:type="lastRow">
      <w:rPr>
        <w:b/>
        <w:bCs/>
      </w:rPr>
      <w:tblPr/>
      <w:tcPr>
        <w:tcBorders>
          <w:top w:val="double" w:sz="4" w:space="0" w:color="60CAF3" w:themeColor="accent4" w:themeTint="99"/>
        </w:tcBorders>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styleId="ListTable4-Accent5">
    <w:name w:val="List Table 4 Accent 5"/>
    <w:basedOn w:val="TableNormal"/>
    <w:uiPriority w:val="49"/>
    <w:rsid w:val="00C30033"/>
    <w:pPr>
      <w:spacing w:before="160" w:after="0" w:line="240" w:lineRule="auto"/>
    </w:pPr>
    <w:rPr>
      <w:kern w:val="0"/>
      <w:sz w:val="22"/>
      <w:szCs w:val="22"/>
      <w:lang w:val="en-GB"/>
      <w14:ligatures w14:val="none"/>
    </w:rPr>
    <w:tblPr>
      <w:tblStyleRowBandSize w:val="1"/>
      <w:tblStyleColBandSize w:val="1"/>
      <w:tblBorders>
        <w:top w:val="single" w:sz="4" w:space="0" w:color="D86DCB" w:themeColor="accent5" w:themeTint="99"/>
        <w:left w:val="single" w:sz="4" w:space="0" w:color="D86DCB" w:themeColor="accent5" w:themeTint="99"/>
        <w:bottom w:val="single" w:sz="4" w:space="0" w:color="D86DCB" w:themeColor="accent5" w:themeTint="99"/>
        <w:right w:val="single" w:sz="4" w:space="0" w:color="D86DCB" w:themeColor="accent5" w:themeTint="99"/>
        <w:insideH w:val="single" w:sz="4" w:space="0" w:color="D86DCB" w:themeColor="accent5" w:themeTint="99"/>
      </w:tblBorders>
    </w:tblPr>
    <w:tblStylePr w:type="firstRow">
      <w:rPr>
        <w:b/>
        <w:bCs/>
        <w:color w:val="FFFFFF" w:themeColor="background1"/>
      </w:rPr>
      <w:tblPr/>
      <w:tcPr>
        <w:tcBorders>
          <w:top w:val="single" w:sz="4" w:space="0" w:color="A02B93" w:themeColor="accent5"/>
          <w:left w:val="single" w:sz="4" w:space="0" w:color="A02B93" w:themeColor="accent5"/>
          <w:bottom w:val="single" w:sz="4" w:space="0" w:color="A02B93" w:themeColor="accent5"/>
          <w:right w:val="single" w:sz="4" w:space="0" w:color="A02B93" w:themeColor="accent5"/>
          <w:insideH w:val="nil"/>
        </w:tcBorders>
        <w:shd w:val="clear" w:color="auto" w:fill="A02B93" w:themeFill="accent5"/>
      </w:tcPr>
    </w:tblStylePr>
    <w:tblStylePr w:type="lastRow">
      <w:rPr>
        <w:b/>
        <w:bCs/>
      </w:rPr>
      <w:tblPr/>
      <w:tcPr>
        <w:tcBorders>
          <w:top w:val="double" w:sz="4" w:space="0" w:color="D86DCB" w:themeColor="accent5" w:themeTint="99"/>
        </w:tcBorders>
      </w:tcPr>
    </w:tblStylePr>
    <w:tblStylePr w:type="firstCol">
      <w:rPr>
        <w:b/>
        <w:bCs/>
      </w:rPr>
    </w:tblStylePr>
    <w:tblStylePr w:type="lastCol">
      <w:rPr>
        <w:b/>
        <w:bCs/>
      </w:rPr>
    </w:tblStylePr>
    <w:tblStylePr w:type="band1Vert">
      <w:tblPr/>
      <w:tcPr>
        <w:shd w:val="clear" w:color="auto" w:fill="F2CEED" w:themeFill="accent5" w:themeFillTint="33"/>
      </w:tcPr>
    </w:tblStylePr>
    <w:tblStylePr w:type="band1Horz">
      <w:tblPr/>
      <w:tcPr>
        <w:shd w:val="clear" w:color="auto" w:fill="F2CEED" w:themeFill="accent5" w:themeFillTint="33"/>
      </w:tcPr>
    </w:tblStylePr>
  </w:style>
  <w:style w:type="table" w:styleId="ListTable4-Accent6">
    <w:name w:val="List Table 4 Accent 6"/>
    <w:basedOn w:val="TableNormal"/>
    <w:uiPriority w:val="49"/>
    <w:rsid w:val="00C30033"/>
    <w:pPr>
      <w:spacing w:before="160" w:after="0" w:line="240" w:lineRule="auto"/>
    </w:pPr>
    <w:rPr>
      <w:kern w:val="0"/>
      <w:sz w:val="22"/>
      <w:szCs w:val="22"/>
      <w:lang w:val="en-GB"/>
      <w14:ligatures w14:val="none"/>
    </w:rPr>
    <w:tblPr>
      <w:tblStyleRowBandSize w:val="1"/>
      <w:tblStyleColBandSize w:val="1"/>
      <w:tblBorders>
        <w:top w:val="single" w:sz="4" w:space="0" w:color="8DD873" w:themeColor="accent6" w:themeTint="99"/>
        <w:left w:val="single" w:sz="4" w:space="0" w:color="8DD873" w:themeColor="accent6" w:themeTint="99"/>
        <w:bottom w:val="single" w:sz="4" w:space="0" w:color="8DD873" w:themeColor="accent6" w:themeTint="99"/>
        <w:right w:val="single" w:sz="4" w:space="0" w:color="8DD873" w:themeColor="accent6" w:themeTint="99"/>
        <w:insideH w:val="single" w:sz="4" w:space="0" w:color="8DD873" w:themeColor="accent6" w:themeTint="99"/>
      </w:tblBorders>
    </w:tblPr>
    <w:tblStylePr w:type="firstRow">
      <w:rPr>
        <w:b/>
        <w:bCs/>
        <w:color w:val="FFFFFF" w:themeColor="background1"/>
      </w:rPr>
      <w:tblPr/>
      <w:tcPr>
        <w:tcBorders>
          <w:top w:val="single" w:sz="4" w:space="0" w:color="4EA72E" w:themeColor="accent6"/>
          <w:left w:val="single" w:sz="4" w:space="0" w:color="4EA72E" w:themeColor="accent6"/>
          <w:bottom w:val="single" w:sz="4" w:space="0" w:color="4EA72E" w:themeColor="accent6"/>
          <w:right w:val="single" w:sz="4" w:space="0" w:color="4EA72E" w:themeColor="accent6"/>
          <w:insideH w:val="nil"/>
        </w:tcBorders>
        <w:shd w:val="clear" w:color="auto" w:fill="4EA72E" w:themeFill="accent6"/>
      </w:tcPr>
    </w:tblStylePr>
    <w:tblStylePr w:type="lastRow">
      <w:rPr>
        <w:b/>
        <w:bCs/>
      </w:rPr>
      <w:tblPr/>
      <w:tcPr>
        <w:tcBorders>
          <w:top w:val="double" w:sz="4" w:space="0" w:color="8DD873" w:themeColor="accent6" w:themeTint="99"/>
        </w:tcBorders>
      </w:tcPr>
    </w:tblStylePr>
    <w:tblStylePr w:type="firstCol">
      <w:rPr>
        <w:b/>
        <w:bCs/>
      </w:rPr>
    </w:tblStylePr>
    <w:tblStylePr w:type="lastCol">
      <w:rPr>
        <w:b/>
        <w:bCs/>
      </w:rPr>
    </w:tblStylePr>
    <w:tblStylePr w:type="band1Vert">
      <w:tblPr/>
      <w:tcPr>
        <w:shd w:val="clear" w:color="auto" w:fill="D9F2D0" w:themeFill="accent6" w:themeFillTint="33"/>
      </w:tcPr>
    </w:tblStylePr>
    <w:tblStylePr w:type="band1Horz">
      <w:tblPr/>
      <w:tcPr>
        <w:shd w:val="clear" w:color="auto" w:fill="D9F2D0" w:themeFill="accent6" w:themeFillTint="33"/>
      </w:tcPr>
    </w:tblStylePr>
  </w:style>
  <w:style w:type="table" w:styleId="ListTable5Dark">
    <w:name w:val="List Table 5 Dark"/>
    <w:basedOn w:val="TableNormal"/>
    <w:uiPriority w:val="50"/>
    <w:rsid w:val="00C30033"/>
    <w:pPr>
      <w:spacing w:before="160" w:after="0" w:line="240" w:lineRule="auto"/>
    </w:pPr>
    <w:rPr>
      <w:color w:val="FFFFFF" w:themeColor="background1"/>
      <w:kern w:val="0"/>
      <w:sz w:val="22"/>
      <w:szCs w:val="22"/>
      <w:lang w:val="en-GB"/>
      <w14:ligatures w14:val="none"/>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C30033"/>
    <w:pPr>
      <w:spacing w:before="160" w:after="0" w:line="240" w:lineRule="auto"/>
    </w:pPr>
    <w:rPr>
      <w:color w:val="FFFFFF" w:themeColor="background1"/>
      <w:kern w:val="0"/>
      <w:sz w:val="22"/>
      <w:szCs w:val="22"/>
      <w:lang w:val="en-GB"/>
      <w14:ligatures w14:val="none"/>
    </w:rPr>
    <w:tblPr>
      <w:tblStyleRowBandSize w:val="1"/>
      <w:tblStyleColBandSize w:val="1"/>
      <w:tblBorders>
        <w:top w:val="single" w:sz="24" w:space="0" w:color="156082" w:themeColor="accent1"/>
        <w:left w:val="single" w:sz="24" w:space="0" w:color="156082" w:themeColor="accent1"/>
        <w:bottom w:val="single" w:sz="24" w:space="0" w:color="156082" w:themeColor="accent1"/>
        <w:right w:val="single" w:sz="24" w:space="0" w:color="156082" w:themeColor="accent1"/>
      </w:tblBorders>
    </w:tblPr>
    <w:tcPr>
      <w:shd w:val="clear" w:color="auto" w:fill="156082"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C30033"/>
    <w:pPr>
      <w:spacing w:before="160" w:after="0" w:line="240" w:lineRule="auto"/>
    </w:pPr>
    <w:rPr>
      <w:color w:val="FFFFFF" w:themeColor="background1"/>
      <w:kern w:val="0"/>
      <w:sz w:val="22"/>
      <w:szCs w:val="22"/>
      <w:lang w:val="en-GB"/>
      <w14:ligatures w14:val="none"/>
    </w:rPr>
    <w:tblPr>
      <w:tblStyleRowBandSize w:val="1"/>
      <w:tblStyleColBandSize w:val="1"/>
      <w:tblBorders>
        <w:top w:val="single" w:sz="24" w:space="0" w:color="E97132" w:themeColor="accent2"/>
        <w:left w:val="single" w:sz="24" w:space="0" w:color="E97132" w:themeColor="accent2"/>
        <w:bottom w:val="single" w:sz="24" w:space="0" w:color="E97132" w:themeColor="accent2"/>
        <w:right w:val="single" w:sz="24" w:space="0" w:color="E97132" w:themeColor="accent2"/>
      </w:tblBorders>
    </w:tblPr>
    <w:tcPr>
      <w:shd w:val="clear" w:color="auto" w:fill="E97132"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C30033"/>
    <w:pPr>
      <w:spacing w:before="160" w:after="0" w:line="240" w:lineRule="auto"/>
    </w:pPr>
    <w:rPr>
      <w:color w:val="FFFFFF" w:themeColor="background1"/>
      <w:kern w:val="0"/>
      <w:sz w:val="22"/>
      <w:szCs w:val="22"/>
      <w:lang w:val="en-GB"/>
      <w14:ligatures w14:val="none"/>
    </w:rPr>
    <w:tblPr>
      <w:tblStyleRowBandSize w:val="1"/>
      <w:tblStyleColBandSize w:val="1"/>
      <w:tblBorders>
        <w:top w:val="single" w:sz="24" w:space="0" w:color="196B24" w:themeColor="accent3"/>
        <w:left w:val="single" w:sz="24" w:space="0" w:color="196B24" w:themeColor="accent3"/>
        <w:bottom w:val="single" w:sz="24" w:space="0" w:color="196B24" w:themeColor="accent3"/>
        <w:right w:val="single" w:sz="24" w:space="0" w:color="196B24" w:themeColor="accent3"/>
      </w:tblBorders>
    </w:tblPr>
    <w:tcPr>
      <w:shd w:val="clear" w:color="auto" w:fill="196B24"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C30033"/>
    <w:pPr>
      <w:spacing w:before="160" w:after="0" w:line="240" w:lineRule="auto"/>
    </w:pPr>
    <w:rPr>
      <w:color w:val="FFFFFF" w:themeColor="background1"/>
      <w:kern w:val="0"/>
      <w:sz w:val="22"/>
      <w:szCs w:val="22"/>
      <w:lang w:val="en-GB"/>
      <w14:ligatures w14:val="none"/>
    </w:rPr>
    <w:tblPr>
      <w:tblStyleRowBandSize w:val="1"/>
      <w:tblStyleColBandSize w:val="1"/>
      <w:tblBorders>
        <w:top w:val="single" w:sz="24" w:space="0" w:color="0F9ED5" w:themeColor="accent4"/>
        <w:left w:val="single" w:sz="24" w:space="0" w:color="0F9ED5" w:themeColor="accent4"/>
        <w:bottom w:val="single" w:sz="24" w:space="0" w:color="0F9ED5" w:themeColor="accent4"/>
        <w:right w:val="single" w:sz="24" w:space="0" w:color="0F9ED5" w:themeColor="accent4"/>
      </w:tblBorders>
    </w:tblPr>
    <w:tcPr>
      <w:shd w:val="clear" w:color="auto" w:fill="0F9ED5"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C30033"/>
    <w:pPr>
      <w:spacing w:before="160" w:after="0" w:line="240" w:lineRule="auto"/>
    </w:pPr>
    <w:rPr>
      <w:color w:val="FFFFFF" w:themeColor="background1"/>
      <w:kern w:val="0"/>
      <w:sz w:val="22"/>
      <w:szCs w:val="22"/>
      <w:lang w:val="en-GB"/>
      <w14:ligatures w14:val="none"/>
    </w:rPr>
    <w:tblPr>
      <w:tblStyleRowBandSize w:val="1"/>
      <w:tblStyleColBandSize w:val="1"/>
      <w:tblBorders>
        <w:top w:val="single" w:sz="24" w:space="0" w:color="A02B93" w:themeColor="accent5"/>
        <w:left w:val="single" w:sz="24" w:space="0" w:color="A02B93" w:themeColor="accent5"/>
        <w:bottom w:val="single" w:sz="24" w:space="0" w:color="A02B93" w:themeColor="accent5"/>
        <w:right w:val="single" w:sz="24" w:space="0" w:color="A02B93" w:themeColor="accent5"/>
      </w:tblBorders>
    </w:tblPr>
    <w:tcPr>
      <w:shd w:val="clear" w:color="auto" w:fill="A02B93"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C30033"/>
    <w:pPr>
      <w:spacing w:before="160" w:after="0" w:line="240" w:lineRule="auto"/>
    </w:pPr>
    <w:rPr>
      <w:color w:val="FFFFFF" w:themeColor="background1"/>
      <w:kern w:val="0"/>
      <w:sz w:val="22"/>
      <w:szCs w:val="22"/>
      <w:lang w:val="en-GB"/>
      <w14:ligatures w14:val="none"/>
    </w:rPr>
    <w:tblPr>
      <w:tblStyleRowBandSize w:val="1"/>
      <w:tblStyleColBandSize w:val="1"/>
      <w:tblBorders>
        <w:top w:val="single" w:sz="24" w:space="0" w:color="4EA72E" w:themeColor="accent6"/>
        <w:left w:val="single" w:sz="24" w:space="0" w:color="4EA72E" w:themeColor="accent6"/>
        <w:bottom w:val="single" w:sz="24" w:space="0" w:color="4EA72E" w:themeColor="accent6"/>
        <w:right w:val="single" w:sz="24" w:space="0" w:color="4EA72E" w:themeColor="accent6"/>
      </w:tblBorders>
    </w:tblPr>
    <w:tcPr>
      <w:shd w:val="clear" w:color="auto" w:fill="4EA72E"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rsid w:val="00C30033"/>
    <w:pPr>
      <w:spacing w:before="160" w:after="0" w:line="240" w:lineRule="auto"/>
    </w:pPr>
    <w:rPr>
      <w:color w:val="000000" w:themeColor="text1"/>
      <w:kern w:val="0"/>
      <w:sz w:val="22"/>
      <w:szCs w:val="22"/>
      <w:lang w:val="en-GB"/>
      <w14:ligatures w14:val="none"/>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rful-Accent1">
    <w:name w:val="List Table 6 Colorful Accent 1"/>
    <w:basedOn w:val="TableNormal"/>
    <w:uiPriority w:val="51"/>
    <w:rsid w:val="00C30033"/>
    <w:pPr>
      <w:spacing w:before="160" w:after="0" w:line="240" w:lineRule="auto"/>
    </w:pPr>
    <w:rPr>
      <w:color w:val="0F4761" w:themeColor="accent1" w:themeShade="BF"/>
      <w:kern w:val="0"/>
      <w:sz w:val="22"/>
      <w:szCs w:val="22"/>
      <w:lang w:val="en-GB"/>
      <w14:ligatures w14:val="none"/>
    </w:rPr>
    <w:tblPr>
      <w:tblStyleRowBandSize w:val="1"/>
      <w:tblStyleColBandSize w:val="1"/>
      <w:tblBorders>
        <w:top w:val="single" w:sz="4" w:space="0" w:color="156082" w:themeColor="accent1"/>
        <w:bottom w:val="single" w:sz="4" w:space="0" w:color="156082" w:themeColor="accent1"/>
      </w:tblBorders>
    </w:tblPr>
    <w:tblStylePr w:type="firstRow">
      <w:rPr>
        <w:b/>
        <w:bCs/>
      </w:rPr>
      <w:tblPr/>
      <w:tcPr>
        <w:tcBorders>
          <w:bottom w:val="single" w:sz="4" w:space="0" w:color="156082" w:themeColor="accent1"/>
        </w:tcBorders>
      </w:tcPr>
    </w:tblStylePr>
    <w:tblStylePr w:type="lastRow">
      <w:rPr>
        <w:b/>
        <w:bCs/>
      </w:rPr>
      <w:tblPr/>
      <w:tcPr>
        <w:tcBorders>
          <w:top w:val="double" w:sz="4" w:space="0" w:color="156082" w:themeColor="accent1"/>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styleId="ListTable6Colorful-Accent2">
    <w:name w:val="List Table 6 Colorful Accent 2"/>
    <w:basedOn w:val="TableNormal"/>
    <w:uiPriority w:val="51"/>
    <w:rsid w:val="00C30033"/>
    <w:pPr>
      <w:spacing w:before="160" w:after="0" w:line="240" w:lineRule="auto"/>
    </w:pPr>
    <w:rPr>
      <w:color w:val="BF4E14" w:themeColor="accent2" w:themeShade="BF"/>
      <w:kern w:val="0"/>
      <w:sz w:val="22"/>
      <w:szCs w:val="22"/>
      <w:lang w:val="en-GB"/>
      <w14:ligatures w14:val="none"/>
    </w:rPr>
    <w:tblPr>
      <w:tblStyleRowBandSize w:val="1"/>
      <w:tblStyleColBandSize w:val="1"/>
      <w:tblBorders>
        <w:top w:val="single" w:sz="4" w:space="0" w:color="E97132" w:themeColor="accent2"/>
        <w:bottom w:val="single" w:sz="4" w:space="0" w:color="E97132" w:themeColor="accent2"/>
      </w:tblBorders>
    </w:tblPr>
    <w:tblStylePr w:type="firstRow">
      <w:rPr>
        <w:b/>
        <w:bCs/>
      </w:rPr>
      <w:tblPr/>
      <w:tcPr>
        <w:tcBorders>
          <w:bottom w:val="single" w:sz="4" w:space="0" w:color="E97132" w:themeColor="accent2"/>
        </w:tcBorders>
      </w:tcPr>
    </w:tblStylePr>
    <w:tblStylePr w:type="lastRow">
      <w:rPr>
        <w:b/>
        <w:bCs/>
      </w:rPr>
      <w:tblPr/>
      <w:tcPr>
        <w:tcBorders>
          <w:top w:val="double" w:sz="4" w:space="0" w:color="E97132" w:themeColor="accent2"/>
        </w:tcBorders>
      </w:tcPr>
    </w:tblStylePr>
    <w:tblStylePr w:type="firstCol">
      <w:rPr>
        <w:b/>
        <w:bCs/>
      </w:rPr>
    </w:tblStylePr>
    <w:tblStylePr w:type="lastCol">
      <w:rPr>
        <w:b/>
        <w:bCs/>
      </w:rPr>
    </w:tblStylePr>
    <w:tblStylePr w:type="band1Vert">
      <w:tblPr/>
      <w:tcPr>
        <w:shd w:val="clear" w:color="auto" w:fill="FAE2D5" w:themeFill="accent2" w:themeFillTint="33"/>
      </w:tcPr>
    </w:tblStylePr>
    <w:tblStylePr w:type="band1Horz">
      <w:tblPr/>
      <w:tcPr>
        <w:shd w:val="clear" w:color="auto" w:fill="FAE2D5" w:themeFill="accent2" w:themeFillTint="33"/>
      </w:tcPr>
    </w:tblStylePr>
  </w:style>
  <w:style w:type="table" w:styleId="ListTable6Colorful-Accent3">
    <w:name w:val="List Table 6 Colorful Accent 3"/>
    <w:basedOn w:val="TableNormal"/>
    <w:uiPriority w:val="51"/>
    <w:rsid w:val="00C30033"/>
    <w:pPr>
      <w:spacing w:before="160" w:after="0" w:line="240" w:lineRule="auto"/>
    </w:pPr>
    <w:rPr>
      <w:color w:val="124F1A" w:themeColor="accent3" w:themeShade="BF"/>
      <w:kern w:val="0"/>
      <w:sz w:val="22"/>
      <w:szCs w:val="22"/>
      <w:lang w:val="en-GB"/>
      <w14:ligatures w14:val="none"/>
    </w:rPr>
    <w:tblPr>
      <w:tblStyleRowBandSize w:val="1"/>
      <w:tblStyleColBandSize w:val="1"/>
      <w:tblBorders>
        <w:top w:val="single" w:sz="4" w:space="0" w:color="196B24" w:themeColor="accent3"/>
        <w:bottom w:val="single" w:sz="4" w:space="0" w:color="196B24" w:themeColor="accent3"/>
      </w:tblBorders>
    </w:tblPr>
    <w:tblStylePr w:type="firstRow">
      <w:rPr>
        <w:b/>
        <w:bCs/>
      </w:rPr>
      <w:tblPr/>
      <w:tcPr>
        <w:tcBorders>
          <w:bottom w:val="single" w:sz="4" w:space="0" w:color="196B24" w:themeColor="accent3"/>
        </w:tcBorders>
      </w:tcPr>
    </w:tblStylePr>
    <w:tblStylePr w:type="lastRow">
      <w:rPr>
        <w:b/>
        <w:bCs/>
      </w:rPr>
      <w:tblPr/>
      <w:tcPr>
        <w:tcBorders>
          <w:top w:val="double" w:sz="4" w:space="0" w:color="196B24" w:themeColor="accent3"/>
        </w:tcBorders>
      </w:tc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styleId="ListTable6Colorful-Accent4">
    <w:name w:val="List Table 6 Colorful Accent 4"/>
    <w:basedOn w:val="TableNormal"/>
    <w:uiPriority w:val="51"/>
    <w:rsid w:val="00C30033"/>
    <w:pPr>
      <w:spacing w:before="160" w:after="0" w:line="240" w:lineRule="auto"/>
    </w:pPr>
    <w:rPr>
      <w:color w:val="0B769F" w:themeColor="accent4" w:themeShade="BF"/>
      <w:kern w:val="0"/>
      <w:sz w:val="22"/>
      <w:szCs w:val="22"/>
      <w:lang w:val="en-GB"/>
      <w14:ligatures w14:val="none"/>
    </w:rPr>
    <w:tblPr>
      <w:tblStyleRowBandSize w:val="1"/>
      <w:tblStyleColBandSize w:val="1"/>
      <w:tblBorders>
        <w:top w:val="single" w:sz="4" w:space="0" w:color="0F9ED5" w:themeColor="accent4"/>
        <w:bottom w:val="single" w:sz="4" w:space="0" w:color="0F9ED5" w:themeColor="accent4"/>
      </w:tblBorders>
    </w:tblPr>
    <w:tblStylePr w:type="firstRow">
      <w:rPr>
        <w:b/>
        <w:bCs/>
      </w:rPr>
      <w:tblPr/>
      <w:tcPr>
        <w:tcBorders>
          <w:bottom w:val="single" w:sz="4" w:space="0" w:color="0F9ED5" w:themeColor="accent4"/>
        </w:tcBorders>
      </w:tcPr>
    </w:tblStylePr>
    <w:tblStylePr w:type="lastRow">
      <w:rPr>
        <w:b/>
        <w:bCs/>
      </w:rPr>
      <w:tblPr/>
      <w:tcPr>
        <w:tcBorders>
          <w:top w:val="double" w:sz="4" w:space="0" w:color="0F9ED5" w:themeColor="accent4"/>
        </w:tcBorders>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styleId="ListTable6Colorful-Accent5">
    <w:name w:val="List Table 6 Colorful Accent 5"/>
    <w:basedOn w:val="TableNormal"/>
    <w:uiPriority w:val="51"/>
    <w:rsid w:val="00C30033"/>
    <w:pPr>
      <w:spacing w:before="160" w:after="0" w:line="240" w:lineRule="auto"/>
    </w:pPr>
    <w:rPr>
      <w:color w:val="77206D" w:themeColor="accent5" w:themeShade="BF"/>
      <w:kern w:val="0"/>
      <w:sz w:val="22"/>
      <w:szCs w:val="22"/>
      <w:lang w:val="en-GB"/>
      <w14:ligatures w14:val="none"/>
    </w:rPr>
    <w:tblPr>
      <w:tblStyleRowBandSize w:val="1"/>
      <w:tblStyleColBandSize w:val="1"/>
      <w:tblBorders>
        <w:top w:val="single" w:sz="4" w:space="0" w:color="A02B93" w:themeColor="accent5"/>
        <w:bottom w:val="single" w:sz="4" w:space="0" w:color="A02B93" w:themeColor="accent5"/>
      </w:tblBorders>
    </w:tblPr>
    <w:tblStylePr w:type="firstRow">
      <w:rPr>
        <w:b/>
        <w:bCs/>
      </w:rPr>
      <w:tblPr/>
      <w:tcPr>
        <w:tcBorders>
          <w:bottom w:val="single" w:sz="4" w:space="0" w:color="A02B93" w:themeColor="accent5"/>
        </w:tcBorders>
      </w:tcPr>
    </w:tblStylePr>
    <w:tblStylePr w:type="lastRow">
      <w:rPr>
        <w:b/>
        <w:bCs/>
      </w:rPr>
      <w:tblPr/>
      <w:tcPr>
        <w:tcBorders>
          <w:top w:val="double" w:sz="4" w:space="0" w:color="A02B93" w:themeColor="accent5"/>
        </w:tcBorders>
      </w:tcPr>
    </w:tblStylePr>
    <w:tblStylePr w:type="firstCol">
      <w:rPr>
        <w:b/>
        <w:bCs/>
      </w:rPr>
    </w:tblStylePr>
    <w:tblStylePr w:type="lastCol">
      <w:rPr>
        <w:b/>
        <w:bCs/>
      </w:rPr>
    </w:tblStylePr>
    <w:tblStylePr w:type="band1Vert">
      <w:tblPr/>
      <w:tcPr>
        <w:shd w:val="clear" w:color="auto" w:fill="F2CEED" w:themeFill="accent5" w:themeFillTint="33"/>
      </w:tcPr>
    </w:tblStylePr>
    <w:tblStylePr w:type="band1Horz">
      <w:tblPr/>
      <w:tcPr>
        <w:shd w:val="clear" w:color="auto" w:fill="F2CEED" w:themeFill="accent5" w:themeFillTint="33"/>
      </w:tcPr>
    </w:tblStylePr>
  </w:style>
  <w:style w:type="table" w:styleId="ListTable6Colorful-Accent6">
    <w:name w:val="List Table 6 Colorful Accent 6"/>
    <w:basedOn w:val="TableNormal"/>
    <w:uiPriority w:val="51"/>
    <w:rsid w:val="00C30033"/>
    <w:pPr>
      <w:spacing w:before="160" w:after="0" w:line="240" w:lineRule="auto"/>
    </w:pPr>
    <w:rPr>
      <w:color w:val="3A7C22" w:themeColor="accent6" w:themeShade="BF"/>
      <w:kern w:val="0"/>
      <w:sz w:val="22"/>
      <w:szCs w:val="22"/>
      <w:lang w:val="en-GB"/>
      <w14:ligatures w14:val="none"/>
    </w:rPr>
    <w:tblPr>
      <w:tblStyleRowBandSize w:val="1"/>
      <w:tblStyleColBandSize w:val="1"/>
      <w:tblBorders>
        <w:top w:val="single" w:sz="4" w:space="0" w:color="4EA72E" w:themeColor="accent6"/>
        <w:bottom w:val="single" w:sz="4" w:space="0" w:color="4EA72E" w:themeColor="accent6"/>
      </w:tblBorders>
    </w:tblPr>
    <w:tblStylePr w:type="firstRow">
      <w:rPr>
        <w:b/>
        <w:bCs/>
      </w:rPr>
      <w:tblPr/>
      <w:tcPr>
        <w:tcBorders>
          <w:bottom w:val="single" w:sz="4" w:space="0" w:color="4EA72E" w:themeColor="accent6"/>
        </w:tcBorders>
      </w:tcPr>
    </w:tblStylePr>
    <w:tblStylePr w:type="lastRow">
      <w:rPr>
        <w:b/>
        <w:bCs/>
      </w:rPr>
      <w:tblPr/>
      <w:tcPr>
        <w:tcBorders>
          <w:top w:val="double" w:sz="4" w:space="0" w:color="4EA72E" w:themeColor="accent6"/>
        </w:tcBorders>
      </w:tcPr>
    </w:tblStylePr>
    <w:tblStylePr w:type="firstCol">
      <w:rPr>
        <w:b/>
        <w:bCs/>
      </w:rPr>
    </w:tblStylePr>
    <w:tblStylePr w:type="lastCol">
      <w:rPr>
        <w:b/>
        <w:bCs/>
      </w:rPr>
    </w:tblStylePr>
    <w:tblStylePr w:type="band1Vert">
      <w:tblPr/>
      <w:tcPr>
        <w:shd w:val="clear" w:color="auto" w:fill="D9F2D0" w:themeFill="accent6" w:themeFillTint="33"/>
      </w:tcPr>
    </w:tblStylePr>
    <w:tblStylePr w:type="band1Horz">
      <w:tblPr/>
      <w:tcPr>
        <w:shd w:val="clear" w:color="auto" w:fill="D9F2D0" w:themeFill="accent6" w:themeFillTint="33"/>
      </w:tcPr>
    </w:tblStylePr>
  </w:style>
  <w:style w:type="table" w:styleId="ListTable7Colorful">
    <w:name w:val="List Table 7 Colorful"/>
    <w:basedOn w:val="TableNormal"/>
    <w:uiPriority w:val="52"/>
    <w:rsid w:val="00C30033"/>
    <w:pPr>
      <w:spacing w:before="160" w:after="0" w:line="240" w:lineRule="auto"/>
    </w:pPr>
    <w:rPr>
      <w:color w:val="000000" w:themeColor="text1"/>
      <w:kern w:val="0"/>
      <w:sz w:val="22"/>
      <w:szCs w:val="22"/>
      <w:lang w:val="en-GB"/>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C30033"/>
    <w:pPr>
      <w:spacing w:before="160" w:after="0" w:line="240" w:lineRule="auto"/>
    </w:pPr>
    <w:rPr>
      <w:color w:val="0F4761" w:themeColor="accent1" w:themeShade="BF"/>
      <w:kern w:val="0"/>
      <w:sz w:val="22"/>
      <w:szCs w:val="22"/>
      <w:lang w:val="en-GB"/>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156082"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156082"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156082"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156082" w:themeColor="accent1"/>
        </w:tcBorders>
        <w:shd w:val="clear" w:color="auto" w:fill="FFFFFF" w:themeFill="background1"/>
      </w:tcPr>
    </w:tblStylePr>
    <w:tblStylePr w:type="band1Vert">
      <w:tblPr/>
      <w:tcPr>
        <w:shd w:val="clear" w:color="auto" w:fill="C1E4F5" w:themeFill="accent1" w:themeFillTint="33"/>
      </w:tcPr>
    </w:tblStylePr>
    <w:tblStylePr w:type="band1Horz">
      <w:tblPr/>
      <w:tcPr>
        <w:shd w:val="clear" w:color="auto" w:fill="C1E4F5"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C30033"/>
    <w:pPr>
      <w:spacing w:before="160" w:after="0" w:line="240" w:lineRule="auto"/>
    </w:pPr>
    <w:rPr>
      <w:color w:val="BF4E14" w:themeColor="accent2" w:themeShade="BF"/>
      <w:kern w:val="0"/>
      <w:sz w:val="22"/>
      <w:szCs w:val="22"/>
      <w:lang w:val="en-GB"/>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97132"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97132"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97132"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97132" w:themeColor="accent2"/>
        </w:tcBorders>
        <w:shd w:val="clear" w:color="auto" w:fill="FFFFFF" w:themeFill="background1"/>
      </w:tcPr>
    </w:tblStylePr>
    <w:tblStylePr w:type="band1Vert">
      <w:tblPr/>
      <w:tcPr>
        <w:shd w:val="clear" w:color="auto" w:fill="FAE2D5" w:themeFill="accent2" w:themeFillTint="33"/>
      </w:tcPr>
    </w:tblStylePr>
    <w:tblStylePr w:type="band1Horz">
      <w:tblPr/>
      <w:tcPr>
        <w:shd w:val="clear" w:color="auto" w:fill="FAE2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C30033"/>
    <w:pPr>
      <w:spacing w:before="160" w:after="0" w:line="240" w:lineRule="auto"/>
    </w:pPr>
    <w:rPr>
      <w:color w:val="124F1A" w:themeColor="accent3" w:themeShade="BF"/>
      <w:kern w:val="0"/>
      <w:sz w:val="22"/>
      <w:szCs w:val="22"/>
      <w:lang w:val="en-GB"/>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196B24"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196B24"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196B24"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196B24" w:themeColor="accent3"/>
        </w:tcBorders>
        <w:shd w:val="clear" w:color="auto" w:fill="FFFFFF" w:themeFill="background1"/>
      </w:tcPr>
    </w:tblStylePr>
    <w:tblStylePr w:type="band1Vert">
      <w:tblPr/>
      <w:tcPr>
        <w:shd w:val="clear" w:color="auto" w:fill="C1F0C7" w:themeFill="accent3" w:themeFillTint="33"/>
      </w:tcPr>
    </w:tblStylePr>
    <w:tblStylePr w:type="band1Horz">
      <w:tblPr/>
      <w:tcPr>
        <w:shd w:val="clear" w:color="auto" w:fill="C1F0C7"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C30033"/>
    <w:pPr>
      <w:spacing w:before="160" w:after="0" w:line="240" w:lineRule="auto"/>
    </w:pPr>
    <w:rPr>
      <w:color w:val="0B769F" w:themeColor="accent4" w:themeShade="BF"/>
      <w:kern w:val="0"/>
      <w:sz w:val="22"/>
      <w:szCs w:val="22"/>
      <w:lang w:val="en-GB"/>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F9ED5"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F9ED5"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F9ED5"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F9ED5" w:themeColor="accent4"/>
        </w:tcBorders>
        <w:shd w:val="clear" w:color="auto" w:fill="FFFFFF" w:themeFill="background1"/>
      </w:tcPr>
    </w:tblStylePr>
    <w:tblStylePr w:type="band1Vert">
      <w:tblPr/>
      <w:tcPr>
        <w:shd w:val="clear" w:color="auto" w:fill="CAEDFB" w:themeFill="accent4" w:themeFillTint="33"/>
      </w:tcPr>
    </w:tblStylePr>
    <w:tblStylePr w:type="band1Horz">
      <w:tblPr/>
      <w:tcPr>
        <w:shd w:val="clear" w:color="auto" w:fill="CAEDFB"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C30033"/>
    <w:pPr>
      <w:spacing w:before="160" w:after="0" w:line="240" w:lineRule="auto"/>
    </w:pPr>
    <w:rPr>
      <w:color w:val="77206D" w:themeColor="accent5" w:themeShade="BF"/>
      <w:kern w:val="0"/>
      <w:sz w:val="22"/>
      <w:szCs w:val="22"/>
      <w:lang w:val="en-GB"/>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A02B93"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02B93"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02B93"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02B93" w:themeColor="accent5"/>
        </w:tcBorders>
        <w:shd w:val="clear" w:color="auto" w:fill="FFFFFF" w:themeFill="background1"/>
      </w:tcPr>
    </w:tblStylePr>
    <w:tblStylePr w:type="band1Vert">
      <w:tblPr/>
      <w:tcPr>
        <w:shd w:val="clear" w:color="auto" w:fill="F2CEED" w:themeFill="accent5" w:themeFillTint="33"/>
      </w:tcPr>
    </w:tblStylePr>
    <w:tblStylePr w:type="band1Horz">
      <w:tblPr/>
      <w:tcPr>
        <w:shd w:val="clear" w:color="auto" w:fill="F2CEED"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C30033"/>
    <w:pPr>
      <w:spacing w:before="160" w:after="0" w:line="240" w:lineRule="auto"/>
    </w:pPr>
    <w:rPr>
      <w:color w:val="3A7C22" w:themeColor="accent6" w:themeShade="BF"/>
      <w:kern w:val="0"/>
      <w:sz w:val="22"/>
      <w:szCs w:val="22"/>
      <w:lang w:val="en-GB"/>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EA72E"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EA72E"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EA72E"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EA72E" w:themeColor="accent6"/>
        </w:tcBorders>
        <w:shd w:val="clear" w:color="auto" w:fill="FFFFFF" w:themeFill="background1"/>
      </w:tcPr>
    </w:tblStylePr>
    <w:tblStylePr w:type="band1Vert">
      <w:tblPr/>
      <w:tcPr>
        <w:shd w:val="clear" w:color="auto" w:fill="D9F2D0" w:themeFill="accent6" w:themeFillTint="33"/>
      </w:tcPr>
    </w:tblStylePr>
    <w:tblStylePr w:type="band1Horz">
      <w:tblPr/>
      <w:tcPr>
        <w:shd w:val="clear" w:color="auto" w:fill="D9F2D0"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MediumGrid1">
    <w:name w:val="Medium Grid 1"/>
    <w:basedOn w:val="TableNormal"/>
    <w:uiPriority w:val="67"/>
    <w:semiHidden/>
    <w:unhideWhenUsed/>
    <w:rsid w:val="00C30033"/>
    <w:pPr>
      <w:spacing w:after="0" w:line="240" w:lineRule="auto"/>
    </w:pPr>
    <w:rPr>
      <w:kern w:val="0"/>
      <w:sz w:val="22"/>
      <w:szCs w:val="22"/>
      <w:lang w:val="en-GB"/>
      <w14:ligatures w14:val="none"/>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rsid w:val="00C30033"/>
    <w:pPr>
      <w:spacing w:after="0" w:line="240" w:lineRule="auto"/>
    </w:pPr>
    <w:rPr>
      <w:kern w:val="0"/>
      <w:sz w:val="22"/>
      <w:szCs w:val="22"/>
      <w:lang w:val="en-GB"/>
      <w14:ligatures w14:val="none"/>
    </w:rPr>
    <w:tblPr>
      <w:tblStyleRowBandSize w:val="1"/>
      <w:tblStyleColBandSize w:val="1"/>
      <w:tblBorders>
        <w:top w:val="single" w:sz="8" w:space="0" w:color="2198CF" w:themeColor="accent1" w:themeTint="BF"/>
        <w:left w:val="single" w:sz="8" w:space="0" w:color="2198CF" w:themeColor="accent1" w:themeTint="BF"/>
        <w:bottom w:val="single" w:sz="8" w:space="0" w:color="2198CF" w:themeColor="accent1" w:themeTint="BF"/>
        <w:right w:val="single" w:sz="8" w:space="0" w:color="2198CF" w:themeColor="accent1" w:themeTint="BF"/>
        <w:insideH w:val="single" w:sz="8" w:space="0" w:color="2198CF" w:themeColor="accent1" w:themeTint="BF"/>
        <w:insideV w:val="single" w:sz="8" w:space="0" w:color="2198CF" w:themeColor="accent1" w:themeTint="BF"/>
      </w:tblBorders>
    </w:tblPr>
    <w:tcPr>
      <w:shd w:val="clear" w:color="auto" w:fill="B2DEF2" w:themeFill="accent1" w:themeFillTint="3F"/>
    </w:tcPr>
    <w:tblStylePr w:type="firstRow">
      <w:rPr>
        <w:b/>
        <w:bCs/>
      </w:rPr>
    </w:tblStylePr>
    <w:tblStylePr w:type="lastRow">
      <w:rPr>
        <w:b/>
        <w:bCs/>
      </w:rPr>
      <w:tblPr/>
      <w:tcPr>
        <w:tcBorders>
          <w:top w:val="single" w:sz="18" w:space="0" w:color="2198CF" w:themeColor="accent1" w:themeTint="BF"/>
        </w:tcBorders>
      </w:tcPr>
    </w:tblStylePr>
    <w:tblStylePr w:type="firstCol">
      <w:rPr>
        <w:b/>
        <w:bCs/>
      </w:rPr>
    </w:tblStylePr>
    <w:tblStylePr w:type="lastCol">
      <w:rPr>
        <w:b/>
        <w:bCs/>
      </w:rPr>
    </w:tblStylePr>
    <w:tblStylePr w:type="band1Vert">
      <w:tblPr/>
      <w:tcPr>
        <w:shd w:val="clear" w:color="auto" w:fill="64BDE6" w:themeFill="accent1" w:themeFillTint="7F"/>
      </w:tcPr>
    </w:tblStylePr>
    <w:tblStylePr w:type="band1Horz">
      <w:tblPr/>
      <w:tcPr>
        <w:shd w:val="clear" w:color="auto" w:fill="64BDE6" w:themeFill="accent1" w:themeFillTint="7F"/>
      </w:tcPr>
    </w:tblStylePr>
  </w:style>
  <w:style w:type="table" w:styleId="MediumGrid1-Accent2">
    <w:name w:val="Medium Grid 1 Accent 2"/>
    <w:basedOn w:val="TableNormal"/>
    <w:uiPriority w:val="67"/>
    <w:semiHidden/>
    <w:unhideWhenUsed/>
    <w:rsid w:val="00C30033"/>
    <w:pPr>
      <w:spacing w:after="0" w:line="240" w:lineRule="auto"/>
    </w:pPr>
    <w:rPr>
      <w:kern w:val="0"/>
      <w:sz w:val="22"/>
      <w:szCs w:val="22"/>
      <w:lang w:val="en-GB"/>
      <w14:ligatures w14:val="none"/>
    </w:rPr>
    <w:tblPr>
      <w:tblStyleRowBandSize w:val="1"/>
      <w:tblStyleColBandSize w:val="1"/>
      <w:tblBorders>
        <w:top w:val="single" w:sz="8" w:space="0" w:color="EE9465" w:themeColor="accent2" w:themeTint="BF"/>
        <w:left w:val="single" w:sz="8" w:space="0" w:color="EE9465" w:themeColor="accent2" w:themeTint="BF"/>
        <w:bottom w:val="single" w:sz="8" w:space="0" w:color="EE9465" w:themeColor="accent2" w:themeTint="BF"/>
        <w:right w:val="single" w:sz="8" w:space="0" w:color="EE9465" w:themeColor="accent2" w:themeTint="BF"/>
        <w:insideH w:val="single" w:sz="8" w:space="0" w:color="EE9465" w:themeColor="accent2" w:themeTint="BF"/>
        <w:insideV w:val="single" w:sz="8" w:space="0" w:color="EE9465" w:themeColor="accent2" w:themeTint="BF"/>
      </w:tblBorders>
    </w:tblPr>
    <w:tcPr>
      <w:shd w:val="clear" w:color="auto" w:fill="F9DBCC" w:themeFill="accent2" w:themeFillTint="3F"/>
    </w:tcPr>
    <w:tblStylePr w:type="firstRow">
      <w:rPr>
        <w:b/>
        <w:bCs/>
      </w:rPr>
    </w:tblStylePr>
    <w:tblStylePr w:type="lastRow">
      <w:rPr>
        <w:b/>
        <w:bCs/>
      </w:rPr>
      <w:tblPr/>
      <w:tcPr>
        <w:tcBorders>
          <w:top w:val="single" w:sz="18" w:space="0" w:color="EE9465" w:themeColor="accent2" w:themeTint="BF"/>
        </w:tcBorders>
      </w:tcPr>
    </w:tblStylePr>
    <w:tblStylePr w:type="firstCol">
      <w:rPr>
        <w:b/>
        <w:bCs/>
      </w:rPr>
    </w:tblStylePr>
    <w:tblStylePr w:type="lastCol">
      <w:rPr>
        <w:b/>
        <w:bCs/>
      </w:rPr>
    </w:tblStylePr>
    <w:tblStylePr w:type="band1Vert">
      <w:tblPr/>
      <w:tcPr>
        <w:shd w:val="clear" w:color="auto" w:fill="F4B798" w:themeFill="accent2" w:themeFillTint="7F"/>
      </w:tcPr>
    </w:tblStylePr>
    <w:tblStylePr w:type="band1Horz">
      <w:tblPr/>
      <w:tcPr>
        <w:shd w:val="clear" w:color="auto" w:fill="F4B798" w:themeFill="accent2" w:themeFillTint="7F"/>
      </w:tcPr>
    </w:tblStylePr>
  </w:style>
  <w:style w:type="table" w:styleId="MediumGrid1-Accent3">
    <w:name w:val="Medium Grid 1 Accent 3"/>
    <w:basedOn w:val="TableNormal"/>
    <w:uiPriority w:val="67"/>
    <w:semiHidden/>
    <w:unhideWhenUsed/>
    <w:rsid w:val="00C30033"/>
    <w:pPr>
      <w:spacing w:after="0" w:line="240" w:lineRule="auto"/>
    </w:pPr>
    <w:rPr>
      <w:kern w:val="0"/>
      <w:sz w:val="22"/>
      <w:szCs w:val="22"/>
      <w:lang w:val="en-GB"/>
      <w14:ligatures w14:val="none"/>
    </w:rPr>
    <w:tblPr>
      <w:tblStyleRowBandSize w:val="1"/>
      <w:tblStyleColBandSize w:val="1"/>
      <w:tblBorders>
        <w:top w:val="single" w:sz="8" w:space="0" w:color="2BB73D" w:themeColor="accent3" w:themeTint="BF"/>
        <w:left w:val="single" w:sz="8" w:space="0" w:color="2BB73D" w:themeColor="accent3" w:themeTint="BF"/>
        <w:bottom w:val="single" w:sz="8" w:space="0" w:color="2BB73D" w:themeColor="accent3" w:themeTint="BF"/>
        <w:right w:val="single" w:sz="8" w:space="0" w:color="2BB73D" w:themeColor="accent3" w:themeTint="BF"/>
        <w:insideH w:val="single" w:sz="8" w:space="0" w:color="2BB73D" w:themeColor="accent3" w:themeTint="BF"/>
        <w:insideV w:val="single" w:sz="8" w:space="0" w:color="2BB73D" w:themeColor="accent3" w:themeTint="BF"/>
      </w:tblBorders>
    </w:tblPr>
    <w:tcPr>
      <w:shd w:val="clear" w:color="auto" w:fill="B3EDBA" w:themeFill="accent3" w:themeFillTint="3F"/>
    </w:tcPr>
    <w:tblStylePr w:type="firstRow">
      <w:rPr>
        <w:b/>
        <w:bCs/>
      </w:rPr>
    </w:tblStylePr>
    <w:tblStylePr w:type="lastRow">
      <w:rPr>
        <w:b/>
        <w:bCs/>
      </w:rPr>
      <w:tblPr/>
      <w:tcPr>
        <w:tcBorders>
          <w:top w:val="single" w:sz="18" w:space="0" w:color="2BB73D" w:themeColor="accent3" w:themeTint="BF"/>
        </w:tcBorders>
      </w:tcPr>
    </w:tblStylePr>
    <w:tblStylePr w:type="firstCol">
      <w:rPr>
        <w:b/>
        <w:bCs/>
      </w:rPr>
    </w:tblStylePr>
    <w:tblStylePr w:type="lastCol">
      <w:rPr>
        <w:b/>
        <w:bCs/>
      </w:rPr>
    </w:tblStylePr>
    <w:tblStylePr w:type="band1Vert">
      <w:tblPr/>
      <w:tcPr>
        <w:shd w:val="clear" w:color="auto" w:fill="66DB75" w:themeFill="accent3" w:themeFillTint="7F"/>
      </w:tcPr>
    </w:tblStylePr>
    <w:tblStylePr w:type="band1Horz">
      <w:tblPr/>
      <w:tcPr>
        <w:shd w:val="clear" w:color="auto" w:fill="66DB75" w:themeFill="accent3" w:themeFillTint="7F"/>
      </w:tcPr>
    </w:tblStylePr>
  </w:style>
  <w:style w:type="table" w:styleId="MediumGrid1-Accent4">
    <w:name w:val="Medium Grid 1 Accent 4"/>
    <w:basedOn w:val="TableNormal"/>
    <w:uiPriority w:val="67"/>
    <w:semiHidden/>
    <w:unhideWhenUsed/>
    <w:rsid w:val="00C30033"/>
    <w:pPr>
      <w:spacing w:after="0" w:line="240" w:lineRule="auto"/>
    </w:pPr>
    <w:rPr>
      <w:kern w:val="0"/>
      <w:sz w:val="22"/>
      <w:szCs w:val="22"/>
      <w:lang w:val="en-GB"/>
      <w14:ligatures w14:val="none"/>
    </w:rPr>
    <w:tblPr>
      <w:tblStyleRowBandSize w:val="1"/>
      <w:tblStyleColBandSize w:val="1"/>
      <w:tblBorders>
        <w:top w:val="single" w:sz="8" w:space="0" w:color="39BEF1" w:themeColor="accent4" w:themeTint="BF"/>
        <w:left w:val="single" w:sz="8" w:space="0" w:color="39BEF1" w:themeColor="accent4" w:themeTint="BF"/>
        <w:bottom w:val="single" w:sz="8" w:space="0" w:color="39BEF1" w:themeColor="accent4" w:themeTint="BF"/>
        <w:right w:val="single" w:sz="8" w:space="0" w:color="39BEF1" w:themeColor="accent4" w:themeTint="BF"/>
        <w:insideH w:val="single" w:sz="8" w:space="0" w:color="39BEF1" w:themeColor="accent4" w:themeTint="BF"/>
        <w:insideV w:val="single" w:sz="8" w:space="0" w:color="39BEF1" w:themeColor="accent4" w:themeTint="BF"/>
      </w:tblBorders>
    </w:tblPr>
    <w:tcPr>
      <w:shd w:val="clear" w:color="auto" w:fill="BDE9FA" w:themeFill="accent4" w:themeFillTint="3F"/>
    </w:tcPr>
    <w:tblStylePr w:type="firstRow">
      <w:rPr>
        <w:b/>
        <w:bCs/>
      </w:rPr>
    </w:tblStylePr>
    <w:tblStylePr w:type="lastRow">
      <w:rPr>
        <w:b/>
        <w:bCs/>
      </w:rPr>
      <w:tblPr/>
      <w:tcPr>
        <w:tcBorders>
          <w:top w:val="single" w:sz="18" w:space="0" w:color="39BEF1" w:themeColor="accent4" w:themeTint="BF"/>
        </w:tcBorders>
      </w:tcPr>
    </w:tblStylePr>
    <w:tblStylePr w:type="firstCol">
      <w:rPr>
        <w:b/>
        <w:bCs/>
      </w:rPr>
    </w:tblStylePr>
    <w:tblStylePr w:type="lastCol">
      <w:rPr>
        <w:b/>
        <w:bCs/>
      </w:rPr>
    </w:tblStylePr>
    <w:tblStylePr w:type="band1Vert">
      <w:tblPr/>
      <w:tcPr>
        <w:shd w:val="clear" w:color="auto" w:fill="7BD3F5" w:themeFill="accent4" w:themeFillTint="7F"/>
      </w:tcPr>
    </w:tblStylePr>
    <w:tblStylePr w:type="band1Horz">
      <w:tblPr/>
      <w:tcPr>
        <w:shd w:val="clear" w:color="auto" w:fill="7BD3F5" w:themeFill="accent4" w:themeFillTint="7F"/>
      </w:tcPr>
    </w:tblStylePr>
  </w:style>
  <w:style w:type="table" w:styleId="MediumGrid1-Accent5">
    <w:name w:val="Medium Grid 1 Accent 5"/>
    <w:basedOn w:val="TableNormal"/>
    <w:uiPriority w:val="67"/>
    <w:semiHidden/>
    <w:unhideWhenUsed/>
    <w:rsid w:val="00C30033"/>
    <w:pPr>
      <w:spacing w:after="0" w:line="240" w:lineRule="auto"/>
    </w:pPr>
    <w:rPr>
      <w:kern w:val="0"/>
      <w:sz w:val="22"/>
      <w:szCs w:val="22"/>
      <w:lang w:val="en-GB"/>
      <w14:ligatures w14:val="none"/>
    </w:rPr>
    <w:tblPr>
      <w:tblStyleRowBandSize w:val="1"/>
      <w:tblStyleColBandSize w:val="1"/>
      <w:tblBorders>
        <w:top w:val="single" w:sz="8" w:space="0" w:color="CE49BF" w:themeColor="accent5" w:themeTint="BF"/>
        <w:left w:val="single" w:sz="8" w:space="0" w:color="CE49BF" w:themeColor="accent5" w:themeTint="BF"/>
        <w:bottom w:val="single" w:sz="8" w:space="0" w:color="CE49BF" w:themeColor="accent5" w:themeTint="BF"/>
        <w:right w:val="single" w:sz="8" w:space="0" w:color="CE49BF" w:themeColor="accent5" w:themeTint="BF"/>
        <w:insideH w:val="single" w:sz="8" w:space="0" w:color="CE49BF" w:themeColor="accent5" w:themeTint="BF"/>
        <w:insideV w:val="single" w:sz="8" w:space="0" w:color="CE49BF" w:themeColor="accent5" w:themeTint="BF"/>
      </w:tblBorders>
    </w:tblPr>
    <w:tcPr>
      <w:shd w:val="clear" w:color="auto" w:fill="EFC3E9" w:themeFill="accent5" w:themeFillTint="3F"/>
    </w:tcPr>
    <w:tblStylePr w:type="firstRow">
      <w:rPr>
        <w:b/>
        <w:bCs/>
      </w:rPr>
    </w:tblStylePr>
    <w:tblStylePr w:type="lastRow">
      <w:rPr>
        <w:b/>
        <w:bCs/>
      </w:rPr>
      <w:tblPr/>
      <w:tcPr>
        <w:tcBorders>
          <w:top w:val="single" w:sz="18" w:space="0" w:color="CE49BF" w:themeColor="accent5" w:themeTint="BF"/>
        </w:tcBorders>
      </w:tcPr>
    </w:tblStylePr>
    <w:tblStylePr w:type="firstCol">
      <w:rPr>
        <w:b/>
        <w:bCs/>
      </w:rPr>
    </w:tblStylePr>
    <w:tblStylePr w:type="lastCol">
      <w:rPr>
        <w:b/>
        <w:bCs/>
      </w:rPr>
    </w:tblStylePr>
    <w:tblStylePr w:type="band1Vert">
      <w:tblPr/>
      <w:tcPr>
        <w:shd w:val="clear" w:color="auto" w:fill="DE86D4" w:themeFill="accent5" w:themeFillTint="7F"/>
      </w:tcPr>
    </w:tblStylePr>
    <w:tblStylePr w:type="band1Horz">
      <w:tblPr/>
      <w:tcPr>
        <w:shd w:val="clear" w:color="auto" w:fill="DE86D4" w:themeFill="accent5" w:themeFillTint="7F"/>
      </w:tcPr>
    </w:tblStylePr>
  </w:style>
  <w:style w:type="table" w:styleId="MediumGrid1-Accent6">
    <w:name w:val="Medium Grid 1 Accent 6"/>
    <w:basedOn w:val="TableNormal"/>
    <w:uiPriority w:val="67"/>
    <w:semiHidden/>
    <w:unhideWhenUsed/>
    <w:rsid w:val="00C30033"/>
    <w:pPr>
      <w:spacing w:after="0" w:line="240" w:lineRule="auto"/>
    </w:pPr>
    <w:rPr>
      <w:kern w:val="0"/>
      <w:sz w:val="22"/>
      <w:szCs w:val="22"/>
      <w:lang w:val="en-GB"/>
      <w14:ligatures w14:val="none"/>
    </w:rPr>
    <w:tblPr>
      <w:tblStyleRowBandSize w:val="1"/>
      <w:tblStyleColBandSize w:val="1"/>
      <w:tblBorders>
        <w:top w:val="single" w:sz="8" w:space="0" w:color="71CF50" w:themeColor="accent6" w:themeTint="BF"/>
        <w:left w:val="single" w:sz="8" w:space="0" w:color="71CF50" w:themeColor="accent6" w:themeTint="BF"/>
        <w:bottom w:val="single" w:sz="8" w:space="0" w:color="71CF50" w:themeColor="accent6" w:themeTint="BF"/>
        <w:right w:val="single" w:sz="8" w:space="0" w:color="71CF50" w:themeColor="accent6" w:themeTint="BF"/>
        <w:insideH w:val="single" w:sz="8" w:space="0" w:color="71CF50" w:themeColor="accent6" w:themeTint="BF"/>
        <w:insideV w:val="single" w:sz="8" w:space="0" w:color="71CF50" w:themeColor="accent6" w:themeTint="BF"/>
      </w:tblBorders>
    </w:tblPr>
    <w:tcPr>
      <w:shd w:val="clear" w:color="auto" w:fill="D0EFC5" w:themeFill="accent6" w:themeFillTint="3F"/>
    </w:tcPr>
    <w:tblStylePr w:type="firstRow">
      <w:rPr>
        <w:b/>
        <w:bCs/>
      </w:rPr>
    </w:tblStylePr>
    <w:tblStylePr w:type="lastRow">
      <w:rPr>
        <w:b/>
        <w:bCs/>
      </w:rPr>
      <w:tblPr/>
      <w:tcPr>
        <w:tcBorders>
          <w:top w:val="single" w:sz="18" w:space="0" w:color="71CF50" w:themeColor="accent6" w:themeTint="BF"/>
        </w:tcBorders>
      </w:tcPr>
    </w:tblStylePr>
    <w:tblStylePr w:type="firstCol">
      <w:rPr>
        <w:b/>
        <w:bCs/>
      </w:rPr>
    </w:tblStylePr>
    <w:tblStylePr w:type="lastCol">
      <w:rPr>
        <w:b/>
        <w:bCs/>
      </w:rPr>
    </w:tblStylePr>
    <w:tblStylePr w:type="band1Vert">
      <w:tblPr/>
      <w:tcPr>
        <w:shd w:val="clear" w:color="auto" w:fill="A0DF8A" w:themeFill="accent6" w:themeFillTint="7F"/>
      </w:tcPr>
    </w:tblStylePr>
    <w:tblStylePr w:type="band1Horz">
      <w:tblPr/>
      <w:tcPr>
        <w:shd w:val="clear" w:color="auto" w:fill="A0DF8A" w:themeFill="accent6" w:themeFillTint="7F"/>
      </w:tcPr>
    </w:tblStylePr>
  </w:style>
  <w:style w:type="table" w:styleId="MediumGrid2">
    <w:name w:val="Medium Grid 2"/>
    <w:basedOn w:val="TableNormal"/>
    <w:uiPriority w:val="68"/>
    <w:semiHidden/>
    <w:unhideWhenUsed/>
    <w:rsid w:val="00C30033"/>
    <w:pPr>
      <w:spacing w:after="0" w:line="240" w:lineRule="auto"/>
    </w:pPr>
    <w:rPr>
      <w:rFonts w:asciiTheme="majorHAnsi" w:eastAsiaTheme="majorEastAsia" w:hAnsiTheme="majorHAnsi" w:cstheme="majorBidi"/>
      <w:color w:val="000000" w:themeColor="text1"/>
      <w:kern w:val="0"/>
      <w:sz w:val="22"/>
      <w:szCs w:val="22"/>
      <w:lang w:val="en-GB"/>
      <w14:ligatures w14:val="non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C30033"/>
    <w:pPr>
      <w:spacing w:after="0" w:line="240" w:lineRule="auto"/>
    </w:pPr>
    <w:rPr>
      <w:rFonts w:asciiTheme="majorHAnsi" w:eastAsiaTheme="majorEastAsia" w:hAnsiTheme="majorHAnsi" w:cstheme="majorBidi"/>
      <w:color w:val="000000" w:themeColor="text1"/>
      <w:kern w:val="0"/>
      <w:sz w:val="22"/>
      <w:szCs w:val="22"/>
      <w:lang w:val="en-GB"/>
      <w14:ligatures w14:val="none"/>
    </w:rPr>
    <w:tblPr>
      <w:tblStyleRowBandSize w:val="1"/>
      <w:tblStyleColBandSize w:val="1"/>
      <w:tblBorders>
        <w:top w:val="single" w:sz="8" w:space="0" w:color="156082" w:themeColor="accent1"/>
        <w:left w:val="single" w:sz="8" w:space="0" w:color="156082" w:themeColor="accent1"/>
        <w:bottom w:val="single" w:sz="8" w:space="0" w:color="156082" w:themeColor="accent1"/>
        <w:right w:val="single" w:sz="8" w:space="0" w:color="156082" w:themeColor="accent1"/>
        <w:insideH w:val="single" w:sz="8" w:space="0" w:color="156082" w:themeColor="accent1"/>
        <w:insideV w:val="single" w:sz="8" w:space="0" w:color="156082" w:themeColor="accent1"/>
      </w:tblBorders>
    </w:tblPr>
    <w:tcPr>
      <w:shd w:val="clear" w:color="auto" w:fill="B2DEF2" w:themeFill="accent1" w:themeFillTint="3F"/>
    </w:tcPr>
    <w:tblStylePr w:type="firstRow">
      <w:rPr>
        <w:b/>
        <w:bCs/>
        <w:color w:val="000000" w:themeColor="text1"/>
      </w:rPr>
      <w:tblPr/>
      <w:tcPr>
        <w:shd w:val="clear" w:color="auto" w:fill="E0F2FA"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1E4F5" w:themeFill="accent1" w:themeFillTint="33"/>
      </w:tcPr>
    </w:tblStylePr>
    <w:tblStylePr w:type="band1Vert">
      <w:tblPr/>
      <w:tcPr>
        <w:shd w:val="clear" w:color="auto" w:fill="64BDE6" w:themeFill="accent1" w:themeFillTint="7F"/>
      </w:tcPr>
    </w:tblStylePr>
    <w:tblStylePr w:type="band1Horz">
      <w:tblPr/>
      <w:tcPr>
        <w:tcBorders>
          <w:insideH w:val="single" w:sz="6" w:space="0" w:color="156082" w:themeColor="accent1"/>
          <w:insideV w:val="single" w:sz="6" w:space="0" w:color="156082" w:themeColor="accent1"/>
        </w:tcBorders>
        <w:shd w:val="clear" w:color="auto" w:fill="64BDE6"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C30033"/>
    <w:pPr>
      <w:spacing w:after="0" w:line="240" w:lineRule="auto"/>
    </w:pPr>
    <w:rPr>
      <w:rFonts w:asciiTheme="majorHAnsi" w:eastAsiaTheme="majorEastAsia" w:hAnsiTheme="majorHAnsi" w:cstheme="majorBidi"/>
      <w:color w:val="000000" w:themeColor="text1"/>
      <w:kern w:val="0"/>
      <w:sz w:val="22"/>
      <w:szCs w:val="22"/>
      <w:lang w:val="en-GB"/>
      <w14:ligatures w14:val="none"/>
    </w:rPr>
    <w:tblPr>
      <w:tblStyleRowBandSize w:val="1"/>
      <w:tblStyleColBandSize w:val="1"/>
      <w:tblBorders>
        <w:top w:val="single" w:sz="8" w:space="0" w:color="E97132" w:themeColor="accent2"/>
        <w:left w:val="single" w:sz="8" w:space="0" w:color="E97132" w:themeColor="accent2"/>
        <w:bottom w:val="single" w:sz="8" w:space="0" w:color="E97132" w:themeColor="accent2"/>
        <w:right w:val="single" w:sz="8" w:space="0" w:color="E97132" w:themeColor="accent2"/>
        <w:insideH w:val="single" w:sz="8" w:space="0" w:color="E97132" w:themeColor="accent2"/>
        <w:insideV w:val="single" w:sz="8" w:space="0" w:color="E97132" w:themeColor="accent2"/>
      </w:tblBorders>
    </w:tblPr>
    <w:tcPr>
      <w:shd w:val="clear" w:color="auto" w:fill="F9DBCC" w:themeFill="accent2" w:themeFillTint="3F"/>
    </w:tcPr>
    <w:tblStylePr w:type="firstRow">
      <w:rPr>
        <w:b/>
        <w:bCs/>
        <w:color w:val="000000" w:themeColor="text1"/>
      </w:rPr>
      <w:tblPr/>
      <w:tcPr>
        <w:shd w:val="clear" w:color="auto" w:fill="FCF0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AE2D5" w:themeFill="accent2" w:themeFillTint="33"/>
      </w:tcPr>
    </w:tblStylePr>
    <w:tblStylePr w:type="band1Vert">
      <w:tblPr/>
      <w:tcPr>
        <w:shd w:val="clear" w:color="auto" w:fill="F4B798" w:themeFill="accent2" w:themeFillTint="7F"/>
      </w:tcPr>
    </w:tblStylePr>
    <w:tblStylePr w:type="band1Horz">
      <w:tblPr/>
      <w:tcPr>
        <w:tcBorders>
          <w:insideH w:val="single" w:sz="6" w:space="0" w:color="E97132" w:themeColor="accent2"/>
          <w:insideV w:val="single" w:sz="6" w:space="0" w:color="E97132" w:themeColor="accent2"/>
        </w:tcBorders>
        <w:shd w:val="clear" w:color="auto" w:fill="F4B7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C30033"/>
    <w:pPr>
      <w:spacing w:after="0" w:line="240" w:lineRule="auto"/>
    </w:pPr>
    <w:rPr>
      <w:rFonts w:asciiTheme="majorHAnsi" w:eastAsiaTheme="majorEastAsia" w:hAnsiTheme="majorHAnsi" w:cstheme="majorBidi"/>
      <w:color w:val="000000" w:themeColor="text1"/>
      <w:kern w:val="0"/>
      <w:sz w:val="22"/>
      <w:szCs w:val="22"/>
      <w:lang w:val="en-GB"/>
      <w14:ligatures w14:val="none"/>
    </w:rPr>
    <w:tblPr>
      <w:tblStyleRowBandSize w:val="1"/>
      <w:tblStyleColBandSize w:val="1"/>
      <w:tblBorders>
        <w:top w:val="single" w:sz="8" w:space="0" w:color="196B24" w:themeColor="accent3"/>
        <w:left w:val="single" w:sz="8" w:space="0" w:color="196B24" w:themeColor="accent3"/>
        <w:bottom w:val="single" w:sz="8" w:space="0" w:color="196B24" w:themeColor="accent3"/>
        <w:right w:val="single" w:sz="8" w:space="0" w:color="196B24" w:themeColor="accent3"/>
        <w:insideH w:val="single" w:sz="8" w:space="0" w:color="196B24" w:themeColor="accent3"/>
        <w:insideV w:val="single" w:sz="8" w:space="0" w:color="196B24" w:themeColor="accent3"/>
      </w:tblBorders>
    </w:tblPr>
    <w:tcPr>
      <w:shd w:val="clear" w:color="auto" w:fill="B3EDBA" w:themeFill="accent3" w:themeFillTint="3F"/>
    </w:tcPr>
    <w:tblStylePr w:type="firstRow">
      <w:rPr>
        <w:b/>
        <w:bCs/>
        <w:color w:val="000000" w:themeColor="text1"/>
      </w:rPr>
      <w:tblPr/>
      <w:tcPr>
        <w:shd w:val="clear" w:color="auto" w:fill="E0F8E3"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1F0C7" w:themeFill="accent3" w:themeFillTint="33"/>
      </w:tcPr>
    </w:tblStylePr>
    <w:tblStylePr w:type="band1Vert">
      <w:tblPr/>
      <w:tcPr>
        <w:shd w:val="clear" w:color="auto" w:fill="66DB75" w:themeFill="accent3" w:themeFillTint="7F"/>
      </w:tcPr>
    </w:tblStylePr>
    <w:tblStylePr w:type="band1Horz">
      <w:tblPr/>
      <w:tcPr>
        <w:tcBorders>
          <w:insideH w:val="single" w:sz="6" w:space="0" w:color="196B24" w:themeColor="accent3"/>
          <w:insideV w:val="single" w:sz="6" w:space="0" w:color="196B24" w:themeColor="accent3"/>
        </w:tcBorders>
        <w:shd w:val="clear" w:color="auto" w:fill="66DB75"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C30033"/>
    <w:pPr>
      <w:spacing w:after="0" w:line="240" w:lineRule="auto"/>
    </w:pPr>
    <w:rPr>
      <w:rFonts w:asciiTheme="majorHAnsi" w:eastAsiaTheme="majorEastAsia" w:hAnsiTheme="majorHAnsi" w:cstheme="majorBidi"/>
      <w:color w:val="000000" w:themeColor="text1"/>
      <w:kern w:val="0"/>
      <w:sz w:val="22"/>
      <w:szCs w:val="22"/>
      <w:lang w:val="en-GB"/>
      <w14:ligatures w14:val="none"/>
    </w:rPr>
    <w:tblPr>
      <w:tblStyleRowBandSize w:val="1"/>
      <w:tblStyleColBandSize w:val="1"/>
      <w:tblBorders>
        <w:top w:val="single" w:sz="8" w:space="0" w:color="0F9ED5" w:themeColor="accent4"/>
        <w:left w:val="single" w:sz="8" w:space="0" w:color="0F9ED5" w:themeColor="accent4"/>
        <w:bottom w:val="single" w:sz="8" w:space="0" w:color="0F9ED5" w:themeColor="accent4"/>
        <w:right w:val="single" w:sz="8" w:space="0" w:color="0F9ED5" w:themeColor="accent4"/>
        <w:insideH w:val="single" w:sz="8" w:space="0" w:color="0F9ED5" w:themeColor="accent4"/>
        <w:insideV w:val="single" w:sz="8" w:space="0" w:color="0F9ED5" w:themeColor="accent4"/>
      </w:tblBorders>
    </w:tblPr>
    <w:tcPr>
      <w:shd w:val="clear" w:color="auto" w:fill="BDE9FA" w:themeFill="accent4" w:themeFillTint="3F"/>
    </w:tcPr>
    <w:tblStylePr w:type="firstRow">
      <w:rPr>
        <w:b/>
        <w:bCs/>
        <w:color w:val="000000" w:themeColor="text1"/>
      </w:rPr>
      <w:tblPr/>
      <w:tcPr>
        <w:shd w:val="clear" w:color="auto" w:fill="E5F6FD"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AEDFB" w:themeFill="accent4" w:themeFillTint="33"/>
      </w:tcPr>
    </w:tblStylePr>
    <w:tblStylePr w:type="band1Vert">
      <w:tblPr/>
      <w:tcPr>
        <w:shd w:val="clear" w:color="auto" w:fill="7BD3F5" w:themeFill="accent4" w:themeFillTint="7F"/>
      </w:tcPr>
    </w:tblStylePr>
    <w:tblStylePr w:type="band1Horz">
      <w:tblPr/>
      <w:tcPr>
        <w:tcBorders>
          <w:insideH w:val="single" w:sz="6" w:space="0" w:color="0F9ED5" w:themeColor="accent4"/>
          <w:insideV w:val="single" w:sz="6" w:space="0" w:color="0F9ED5" w:themeColor="accent4"/>
        </w:tcBorders>
        <w:shd w:val="clear" w:color="auto" w:fill="7BD3F5"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C30033"/>
    <w:pPr>
      <w:spacing w:after="0" w:line="240" w:lineRule="auto"/>
    </w:pPr>
    <w:rPr>
      <w:rFonts w:asciiTheme="majorHAnsi" w:eastAsiaTheme="majorEastAsia" w:hAnsiTheme="majorHAnsi" w:cstheme="majorBidi"/>
      <w:color w:val="000000" w:themeColor="text1"/>
      <w:kern w:val="0"/>
      <w:sz w:val="22"/>
      <w:szCs w:val="22"/>
      <w:lang w:val="en-GB"/>
      <w14:ligatures w14:val="none"/>
    </w:rPr>
    <w:tblPr>
      <w:tblStyleRowBandSize w:val="1"/>
      <w:tblStyleColBandSize w:val="1"/>
      <w:tblBorders>
        <w:top w:val="single" w:sz="8" w:space="0" w:color="A02B93" w:themeColor="accent5"/>
        <w:left w:val="single" w:sz="8" w:space="0" w:color="A02B93" w:themeColor="accent5"/>
        <w:bottom w:val="single" w:sz="8" w:space="0" w:color="A02B93" w:themeColor="accent5"/>
        <w:right w:val="single" w:sz="8" w:space="0" w:color="A02B93" w:themeColor="accent5"/>
        <w:insideH w:val="single" w:sz="8" w:space="0" w:color="A02B93" w:themeColor="accent5"/>
        <w:insideV w:val="single" w:sz="8" w:space="0" w:color="A02B93" w:themeColor="accent5"/>
      </w:tblBorders>
    </w:tblPr>
    <w:tcPr>
      <w:shd w:val="clear" w:color="auto" w:fill="EFC3E9" w:themeFill="accent5" w:themeFillTint="3F"/>
    </w:tcPr>
    <w:tblStylePr w:type="firstRow">
      <w:rPr>
        <w:b/>
        <w:bCs/>
        <w:color w:val="000000" w:themeColor="text1"/>
      </w:rPr>
      <w:tblPr/>
      <w:tcPr>
        <w:shd w:val="clear" w:color="auto" w:fill="F8E7F6"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CEED" w:themeFill="accent5" w:themeFillTint="33"/>
      </w:tcPr>
    </w:tblStylePr>
    <w:tblStylePr w:type="band1Vert">
      <w:tblPr/>
      <w:tcPr>
        <w:shd w:val="clear" w:color="auto" w:fill="DE86D4" w:themeFill="accent5" w:themeFillTint="7F"/>
      </w:tcPr>
    </w:tblStylePr>
    <w:tblStylePr w:type="band1Horz">
      <w:tblPr/>
      <w:tcPr>
        <w:tcBorders>
          <w:insideH w:val="single" w:sz="6" w:space="0" w:color="A02B93" w:themeColor="accent5"/>
          <w:insideV w:val="single" w:sz="6" w:space="0" w:color="A02B93" w:themeColor="accent5"/>
        </w:tcBorders>
        <w:shd w:val="clear" w:color="auto" w:fill="DE86D4"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C30033"/>
    <w:pPr>
      <w:spacing w:after="0" w:line="240" w:lineRule="auto"/>
    </w:pPr>
    <w:rPr>
      <w:rFonts w:asciiTheme="majorHAnsi" w:eastAsiaTheme="majorEastAsia" w:hAnsiTheme="majorHAnsi" w:cstheme="majorBidi"/>
      <w:color w:val="000000" w:themeColor="text1"/>
      <w:kern w:val="0"/>
      <w:sz w:val="22"/>
      <w:szCs w:val="22"/>
      <w:lang w:val="en-GB"/>
      <w14:ligatures w14:val="none"/>
    </w:rPr>
    <w:tblPr>
      <w:tblStyleRowBandSize w:val="1"/>
      <w:tblStyleColBandSize w:val="1"/>
      <w:tblBorders>
        <w:top w:val="single" w:sz="8" w:space="0" w:color="4EA72E" w:themeColor="accent6"/>
        <w:left w:val="single" w:sz="8" w:space="0" w:color="4EA72E" w:themeColor="accent6"/>
        <w:bottom w:val="single" w:sz="8" w:space="0" w:color="4EA72E" w:themeColor="accent6"/>
        <w:right w:val="single" w:sz="8" w:space="0" w:color="4EA72E" w:themeColor="accent6"/>
        <w:insideH w:val="single" w:sz="8" w:space="0" w:color="4EA72E" w:themeColor="accent6"/>
        <w:insideV w:val="single" w:sz="8" w:space="0" w:color="4EA72E" w:themeColor="accent6"/>
      </w:tblBorders>
    </w:tblPr>
    <w:tcPr>
      <w:shd w:val="clear" w:color="auto" w:fill="D0EFC5" w:themeFill="accent6" w:themeFillTint="3F"/>
    </w:tcPr>
    <w:tblStylePr w:type="firstRow">
      <w:rPr>
        <w:b/>
        <w:bCs/>
        <w:color w:val="000000" w:themeColor="text1"/>
      </w:rPr>
      <w:tblPr/>
      <w:tcPr>
        <w:shd w:val="clear" w:color="auto" w:fill="ECF8E8"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F2D0" w:themeFill="accent6" w:themeFillTint="33"/>
      </w:tcPr>
    </w:tblStylePr>
    <w:tblStylePr w:type="band1Vert">
      <w:tblPr/>
      <w:tcPr>
        <w:shd w:val="clear" w:color="auto" w:fill="A0DF8A" w:themeFill="accent6" w:themeFillTint="7F"/>
      </w:tcPr>
    </w:tblStylePr>
    <w:tblStylePr w:type="band1Horz">
      <w:tblPr/>
      <w:tcPr>
        <w:tcBorders>
          <w:insideH w:val="single" w:sz="6" w:space="0" w:color="4EA72E" w:themeColor="accent6"/>
          <w:insideV w:val="single" w:sz="6" w:space="0" w:color="4EA72E" w:themeColor="accent6"/>
        </w:tcBorders>
        <w:shd w:val="clear" w:color="auto" w:fill="A0DF8A"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C30033"/>
    <w:pPr>
      <w:spacing w:after="0" w:line="240" w:lineRule="auto"/>
    </w:pPr>
    <w:rPr>
      <w:kern w:val="0"/>
      <w:sz w:val="22"/>
      <w:szCs w:val="22"/>
      <w:lang w:val="en-GB"/>
      <w14:ligatures w14:val="non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unhideWhenUsed/>
    <w:rsid w:val="00C30033"/>
    <w:pPr>
      <w:spacing w:after="0" w:line="240" w:lineRule="auto"/>
    </w:pPr>
    <w:rPr>
      <w:kern w:val="0"/>
      <w:sz w:val="22"/>
      <w:szCs w:val="22"/>
      <w:lang w:val="en-GB"/>
      <w14:ligatures w14:val="non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B2DEF2"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156082"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156082"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56082"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56082"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64BDE6"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64BDE6" w:themeFill="accent1" w:themeFillTint="7F"/>
      </w:tcPr>
    </w:tblStylePr>
  </w:style>
  <w:style w:type="table" w:styleId="MediumGrid3-Accent2">
    <w:name w:val="Medium Grid 3 Accent 2"/>
    <w:basedOn w:val="TableNormal"/>
    <w:uiPriority w:val="69"/>
    <w:semiHidden/>
    <w:unhideWhenUsed/>
    <w:rsid w:val="00C30033"/>
    <w:pPr>
      <w:spacing w:after="0" w:line="240" w:lineRule="auto"/>
    </w:pPr>
    <w:rPr>
      <w:kern w:val="0"/>
      <w:sz w:val="22"/>
      <w:szCs w:val="22"/>
      <w:lang w:val="en-GB"/>
      <w14:ligatures w14:val="non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9DBCC"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97132"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97132"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97132"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97132"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4B7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4B798" w:themeFill="accent2" w:themeFillTint="7F"/>
      </w:tcPr>
    </w:tblStylePr>
  </w:style>
  <w:style w:type="table" w:styleId="MediumGrid3-Accent3">
    <w:name w:val="Medium Grid 3 Accent 3"/>
    <w:basedOn w:val="TableNormal"/>
    <w:uiPriority w:val="69"/>
    <w:semiHidden/>
    <w:unhideWhenUsed/>
    <w:rsid w:val="00C30033"/>
    <w:pPr>
      <w:spacing w:after="0" w:line="240" w:lineRule="auto"/>
    </w:pPr>
    <w:rPr>
      <w:kern w:val="0"/>
      <w:sz w:val="22"/>
      <w:szCs w:val="22"/>
      <w:lang w:val="en-GB"/>
      <w14:ligatures w14:val="non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B3EDBA"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196B24"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196B24"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96B24"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96B24"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66DB75"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66DB75" w:themeFill="accent3" w:themeFillTint="7F"/>
      </w:tcPr>
    </w:tblStylePr>
  </w:style>
  <w:style w:type="table" w:styleId="MediumGrid3-Accent4">
    <w:name w:val="Medium Grid 3 Accent 4"/>
    <w:basedOn w:val="TableNormal"/>
    <w:uiPriority w:val="69"/>
    <w:semiHidden/>
    <w:unhideWhenUsed/>
    <w:rsid w:val="00C30033"/>
    <w:pPr>
      <w:spacing w:after="0" w:line="240" w:lineRule="auto"/>
    </w:pPr>
    <w:rPr>
      <w:kern w:val="0"/>
      <w:sz w:val="22"/>
      <w:szCs w:val="22"/>
      <w:lang w:val="en-GB"/>
      <w14:ligatures w14:val="non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BDE9FA"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F9ED5"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F9ED5"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F9ED5"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F9ED5"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7BD3F5"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7BD3F5" w:themeFill="accent4" w:themeFillTint="7F"/>
      </w:tcPr>
    </w:tblStylePr>
  </w:style>
  <w:style w:type="table" w:styleId="MediumGrid3-Accent5">
    <w:name w:val="Medium Grid 3 Accent 5"/>
    <w:basedOn w:val="TableNormal"/>
    <w:uiPriority w:val="69"/>
    <w:semiHidden/>
    <w:unhideWhenUsed/>
    <w:rsid w:val="00C30033"/>
    <w:pPr>
      <w:spacing w:after="0" w:line="240" w:lineRule="auto"/>
    </w:pPr>
    <w:rPr>
      <w:kern w:val="0"/>
      <w:sz w:val="22"/>
      <w:szCs w:val="22"/>
      <w:lang w:val="en-GB"/>
      <w14:ligatures w14:val="non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C3E9"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02B93"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02B93"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02B93"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02B93"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E86D4"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E86D4" w:themeFill="accent5" w:themeFillTint="7F"/>
      </w:tcPr>
    </w:tblStylePr>
  </w:style>
  <w:style w:type="table" w:styleId="MediumGrid3-Accent6">
    <w:name w:val="Medium Grid 3 Accent 6"/>
    <w:basedOn w:val="TableNormal"/>
    <w:uiPriority w:val="69"/>
    <w:semiHidden/>
    <w:unhideWhenUsed/>
    <w:rsid w:val="00C30033"/>
    <w:pPr>
      <w:spacing w:after="0" w:line="240" w:lineRule="auto"/>
    </w:pPr>
    <w:rPr>
      <w:kern w:val="0"/>
      <w:sz w:val="22"/>
      <w:szCs w:val="22"/>
      <w:lang w:val="en-GB"/>
      <w14:ligatures w14:val="non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EFC5"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EA72E"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EA72E"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EA72E"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EA72E"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0DF8A"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0DF8A" w:themeFill="accent6" w:themeFillTint="7F"/>
      </w:tcPr>
    </w:tblStylePr>
  </w:style>
  <w:style w:type="table" w:styleId="MediumList1">
    <w:name w:val="Medium List 1"/>
    <w:basedOn w:val="TableNormal"/>
    <w:uiPriority w:val="65"/>
    <w:semiHidden/>
    <w:unhideWhenUsed/>
    <w:rsid w:val="00C30033"/>
    <w:pPr>
      <w:spacing w:after="0" w:line="240" w:lineRule="auto"/>
    </w:pPr>
    <w:rPr>
      <w:color w:val="000000" w:themeColor="text1"/>
      <w:kern w:val="0"/>
      <w:sz w:val="22"/>
      <w:szCs w:val="22"/>
      <w:lang w:val="en-GB"/>
      <w14:ligatures w14:val="none"/>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0E2841"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unhideWhenUsed/>
    <w:rsid w:val="00C30033"/>
    <w:pPr>
      <w:spacing w:after="0" w:line="240" w:lineRule="auto"/>
    </w:pPr>
    <w:rPr>
      <w:color w:val="000000" w:themeColor="text1"/>
      <w:kern w:val="0"/>
      <w:sz w:val="22"/>
      <w:szCs w:val="22"/>
      <w:lang w:val="en-GB"/>
      <w14:ligatures w14:val="none"/>
    </w:rPr>
    <w:tblPr>
      <w:tblStyleRowBandSize w:val="1"/>
      <w:tblStyleColBandSize w:val="1"/>
      <w:tblBorders>
        <w:top w:val="single" w:sz="8" w:space="0" w:color="156082" w:themeColor="accent1"/>
        <w:bottom w:val="single" w:sz="8" w:space="0" w:color="156082" w:themeColor="accent1"/>
      </w:tblBorders>
    </w:tblPr>
    <w:tblStylePr w:type="firstRow">
      <w:rPr>
        <w:rFonts w:asciiTheme="majorHAnsi" w:eastAsiaTheme="majorEastAsia" w:hAnsiTheme="majorHAnsi" w:cstheme="majorBidi"/>
      </w:rPr>
      <w:tblPr/>
      <w:tcPr>
        <w:tcBorders>
          <w:top w:val="nil"/>
          <w:bottom w:val="single" w:sz="8" w:space="0" w:color="156082" w:themeColor="accent1"/>
        </w:tcBorders>
      </w:tcPr>
    </w:tblStylePr>
    <w:tblStylePr w:type="lastRow">
      <w:rPr>
        <w:b/>
        <w:bCs/>
        <w:color w:val="0E2841" w:themeColor="text2"/>
      </w:rPr>
      <w:tblPr/>
      <w:tcPr>
        <w:tcBorders>
          <w:top w:val="single" w:sz="8" w:space="0" w:color="156082" w:themeColor="accent1"/>
          <w:bottom w:val="single" w:sz="8" w:space="0" w:color="156082" w:themeColor="accent1"/>
        </w:tcBorders>
      </w:tcPr>
    </w:tblStylePr>
    <w:tblStylePr w:type="firstCol">
      <w:rPr>
        <w:b/>
        <w:bCs/>
      </w:rPr>
    </w:tblStylePr>
    <w:tblStylePr w:type="lastCol">
      <w:rPr>
        <w:b/>
        <w:bCs/>
      </w:rPr>
      <w:tblPr/>
      <w:tcPr>
        <w:tcBorders>
          <w:top w:val="single" w:sz="8" w:space="0" w:color="156082" w:themeColor="accent1"/>
          <w:bottom w:val="single" w:sz="8" w:space="0" w:color="156082" w:themeColor="accent1"/>
        </w:tcBorders>
      </w:tcPr>
    </w:tblStylePr>
    <w:tblStylePr w:type="band1Vert">
      <w:tblPr/>
      <w:tcPr>
        <w:shd w:val="clear" w:color="auto" w:fill="B2DEF2" w:themeFill="accent1" w:themeFillTint="3F"/>
      </w:tcPr>
    </w:tblStylePr>
    <w:tblStylePr w:type="band1Horz">
      <w:tblPr/>
      <w:tcPr>
        <w:shd w:val="clear" w:color="auto" w:fill="B2DEF2" w:themeFill="accent1" w:themeFillTint="3F"/>
      </w:tcPr>
    </w:tblStylePr>
  </w:style>
  <w:style w:type="table" w:styleId="MediumList1-Accent2">
    <w:name w:val="Medium List 1 Accent 2"/>
    <w:basedOn w:val="TableNormal"/>
    <w:uiPriority w:val="65"/>
    <w:semiHidden/>
    <w:unhideWhenUsed/>
    <w:rsid w:val="00C30033"/>
    <w:pPr>
      <w:spacing w:after="0" w:line="240" w:lineRule="auto"/>
    </w:pPr>
    <w:rPr>
      <w:color w:val="000000" w:themeColor="text1"/>
      <w:kern w:val="0"/>
      <w:sz w:val="22"/>
      <w:szCs w:val="22"/>
      <w:lang w:val="en-GB"/>
      <w14:ligatures w14:val="none"/>
    </w:rPr>
    <w:tblPr>
      <w:tblStyleRowBandSize w:val="1"/>
      <w:tblStyleColBandSize w:val="1"/>
      <w:tblBorders>
        <w:top w:val="single" w:sz="8" w:space="0" w:color="E97132" w:themeColor="accent2"/>
        <w:bottom w:val="single" w:sz="8" w:space="0" w:color="E97132" w:themeColor="accent2"/>
      </w:tblBorders>
    </w:tblPr>
    <w:tblStylePr w:type="firstRow">
      <w:rPr>
        <w:rFonts w:asciiTheme="majorHAnsi" w:eastAsiaTheme="majorEastAsia" w:hAnsiTheme="majorHAnsi" w:cstheme="majorBidi"/>
      </w:rPr>
      <w:tblPr/>
      <w:tcPr>
        <w:tcBorders>
          <w:top w:val="nil"/>
          <w:bottom w:val="single" w:sz="8" w:space="0" w:color="E97132" w:themeColor="accent2"/>
        </w:tcBorders>
      </w:tcPr>
    </w:tblStylePr>
    <w:tblStylePr w:type="lastRow">
      <w:rPr>
        <w:b/>
        <w:bCs/>
        <w:color w:val="0E2841" w:themeColor="text2"/>
      </w:rPr>
      <w:tblPr/>
      <w:tcPr>
        <w:tcBorders>
          <w:top w:val="single" w:sz="8" w:space="0" w:color="E97132" w:themeColor="accent2"/>
          <w:bottom w:val="single" w:sz="8" w:space="0" w:color="E97132" w:themeColor="accent2"/>
        </w:tcBorders>
      </w:tcPr>
    </w:tblStylePr>
    <w:tblStylePr w:type="firstCol">
      <w:rPr>
        <w:b/>
        <w:bCs/>
      </w:rPr>
    </w:tblStylePr>
    <w:tblStylePr w:type="lastCol">
      <w:rPr>
        <w:b/>
        <w:bCs/>
      </w:rPr>
      <w:tblPr/>
      <w:tcPr>
        <w:tcBorders>
          <w:top w:val="single" w:sz="8" w:space="0" w:color="E97132" w:themeColor="accent2"/>
          <w:bottom w:val="single" w:sz="8" w:space="0" w:color="E97132" w:themeColor="accent2"/>
        </w:tcBorders>
      </w:tcPr>
    </w:tblStylePr>
    <w:tblStylePr w:type="band1Vert">
      <w:tblPr/>
      <w:tcPr>
        <w:shd w:val="clear" w:color="auto" w:fill="F9DBCC" w:themeFill="accent2" w:themeFillTint="3F"/>
      </w:tcPr>
    </w:tblStylePr>
    <w:tblStylePr w:type="band1Horz">
      <w:tblPr/>
      <w:tcPr>
        <w:shd w:val="clear" w:color="auto" w:fill="F9DBCC" w:themeFill="accent2" w:themeFillTint="3F"/>
      </w:tcPr>
    </w:tblStylePr>
  </w:style>
  <w:style w:type="table" w:styleId="MediumList1-Accent3">
    <w:name w:val="Medium List 1 Accent 3"/>
    <w:basedOn w:val="TableNormal"/>
    <w:uiPriority w:val="65"/>
    <w:semiHidden/>
    <w:unhideWhenUsed/>
    <w:rsid w:val="00C30033"/>
    <w:pPr>
      <w:spacing w:after="0" w:line="240" w:lineRule="auto"/>
    </w:pPr>
    <w:rPr>
      <w:color w:val="000000" w:themeColor="text1"/>
      <w:kern w:val="0"/>
      <w:sz w:val="22"/>
      <w:szCs w:val="22"/>
      <w:lang w:val="en-GB"/>
      <w14:ligatures w14:val="none"/>
    </w:rPr>
    <w:tblPr>
      <w:tblStyleRowBandSize w:val="1"/>
      <w:tblStyleColBandSize w:val="1"/>
      <w:tblBorders>
        <w:top w:val="single" w:sz="8" w:space="0" w:color="196B24" w:themeColor="accent3"/>
        <w:bottom w:val="single" w:sz="8" w:space="0" w:color="196B24" w:themeColor="accent3"/>
      </w:tblBorders>
    </w:tblPr>
    <w:tblStylePr w:type="firstRow">
      <w:rPr>
        <w:rFonts w:asciiTheme="majorHAnsi" w:eastAsiaTheme="majorEastAsia" w:hAnsiTheme="majorHAnsi" w:cstheme="majorBidi"/>
      </w:rPr>
      <w:tblPr/>
      <w:tcPr>
        <w:tcBorders>
          <w:top w:val="nil"/>
          <w:bottom w:val="single" w:sz="8" w:space="0" w:color="196B24" w:themeColor="accent3"/>
        </w:tcBorders>
      </w:tcPr>
    </w:tblStylePr>
    <w:tblStylePr w:type="lastRow">
      <w:rPr>
        <w:b/>
        <w:bCs/>
        <w:color w:val="0E2841" w:themeColor="text2"/>
      </w:rPr>
      <w:tblPr/>
      <w:tcPr>
        <w:tcBorders>
          <w:top w:val="single" w:sz="8" w:space="0" w:color="196B24" w:themeColor="accent3"/>
          <w:bottom w:val="single" w:sz="8" w:space="0" w:color="196B24" w:themeColor="accent3"/>
        </w:tcBorders>
      </w:tcPr>
    </w:tblStylePr>
    <w:tblStylePr w:type="firstCol">
      <w:rPr>
        <w:b/>
        <w:bCs/>
      </w:rPr>
    </w:tblStylePr>
    <w:tblStylePr w:type="lastCol">
      <w:rPr>
        <w:b/>
        <w:bCs/>
      </w:rPr>
      <w:tblPr/>
      <w:tcPr>
        <w:tcBorders>
          <w:top w:val="single" w:sz="8" w:space="0" w:color="196B24" w:themeColor="accent3"/>
          <w:bottom w:val="single" w:sz="8" w:space="0" w:color="196B24" w:themeColor="accent3"/>
        </w:tcBorders>
      </w:tcPr>
    </w:tblStylePr>
    <w:tblStylePr w:type="band1Vert">
      <w:tblPr/>
      <w:tcPr>
        <w:shd w:val="clear" w:color="auto" w:fill="B3EDBA" w:themeFill="accent3" w:themeFillTint="3F"/>
      </w:tcPr>
    </w:tblStylePr>
    <w:tblStylePr w:type="band1Horz">
      <w:tblPr/>
      <w:tcPr>
        <w:shd w:val="clear" w:color="auto" w:fill="B3EDBA" w:themeFill="accent3" w:themeFillTint="3F"/>
      </w:tcPr>
    </w:tblStylePr>
  </w:style>
  <w:style w:type="table" w:styleId="MediumList1-Accent4">
    <w:name w:val="Medium List 1 Accent 4"/>
    <w:basedOn w:val="TableNormal"/>
    <w:uiPriority w:val="65"/>
    <w:semiHidden/>
    <w:unhideWhenUsed/>
    <w:rsid w:val="00C30033"/>
    <w:pPr>
      <w:spacing w:after="0" w:line="240" w:lineRule="auto"/>
    </w:pPr>
    <w:rPr>
      <w:color w:val="000000" w:themeColor="text1"/>
      <w:kern w:val="0"/>
      <w:sz w:val="22"/>
      <w:szCs w:val="22"/>
      <w:lang w:val="en-GB"/>
      <w14:ligatures w14:val="none"/>
    </w:rPr>
    <w:tblPr>
      <w:tblStyleRowBandSize w:val="1"/>
      <w:tblStyleColBandSize w:val="1"/>
      <w:tblBorders>
        <w:top w:val="single" w:sz="8" w:space="0" w:color="0F9ED5" w:themeColor="accent4"/>
        <w:bottom w:val="single" w:sz="8" w:space="0" w:color="0F9ED5" w:themeColor="accent4"/>
      </w:tblBorders>
    </w:tblPr>
    <w:tblStylePr w:type="firstRow">
      <w:rPr>
        <w:rFonts w:asciiTheme="majorHAnsi" w:eastAsiaTheme="majorEastAsia" w:hAnsiTheme="majorHAnsi" w:cstheme="majorBidi"/>
      </w:rPr>
      <w:tblPr/>
      <w:tcPr>
        <w:tcBorders>
          <w:top w:val="nil"/>
          <w:bottom w:val="single" w:sz="8" w:space="0" w:color="0F9ED5" w:themeColor="accent4"/>
        </w:tcBorders>
      </w:tcPr>
    </w:tblStylePr>
    <w:tblStylePr w:type="lastRow">
      <w:rPr>
        <w:b/>
        <w:bCs/>
        <w:color w:val="0E2841" w:themeColor="text2"/>
      </w:rPr>
      <w:tblPr/>
      <w:tcPr>
        <w:tcBorders>
          <w:top w:val="single" w:sz="8" w:space="0" w:color="0F9ED5" w:themeColor="accent4"/>
          <w:bottom w:val="single" w:sz="8" w:space="0" w:color="0F9ED5" w:themeColor="accent4"/>
        </w:tcBorders>
      </w:tcPr>
    </w:tblStylePr>
    <w:tblStylePr w:type="firstCol">
      <w:rPr>
        <w:b/>
        <w:bCs/>
      </w:rPr>
    </w:tblStylePr>
    <w:tblStylePr w:type="lastCol">
      <w:rPr>
        <w:b/>
        <w:bCs/>
      </w:rPr>
      <w:tblPr/>
      <w:tcPr>
        <w:tcBorders>
          <w:top w:val="single" w:sz="8" w:space="0" w:color="0F9ED5" w:themeColor="accent4"/>
          <w:bottom w:val="single" w:sz="8" w:space="0" w:color="0F9ED5" w:themeColor="accent4"/>
        </w:tcBorders>
      </w:tcPr>
    </w:tblStylePr>
    <w:tblStylePr w:type="band1Vert">
      <w:tblPr/>
      <w:tcPr>
        <w:shd w:val="clear" w:color="auto" w:fill="BDE9FA" w:themeFill="accent4" w:themeFillTint="3F"/>
      </w:tcPr>
    </w:tblStylePr>
    <w:tblStylePr w:type="band1Horz">
      <w:tblPr/>
      <w:tcPr>
        <w:shd w:val="clear" w:color="auto" w:fill="BDE9FA" w:themeFill="accent4" w:themeFillTint="3F"/>
      </w:tcPr>
    </w:tblStylePr>
  </w:style>
  <w:style w:type="table" w:styleId="MediumList1-Accent5">
    <w:name w:val="Medium List 1 Accent 5"/>
    <w:basedOn w:val="TableNormal"/>
    <w:uiPriority w:val="65"/>
    <w:semiHidden/>
    <w:unhideWhenUsed/>
    <w:rsid w:val="00C30033"/>
    <w:pPr>
      <w:spacing w:after="0" w:line="240" w:lineRule="auto"/>
    </w:pPr>
    <w:rPr>
      <w:color w:val="000000" w:themeColor="text1"/>
      <w:kern w:val="0"/>
      <w:sz w:val="22"/>
      <w:szCs w:val="22"/>
      <w:lang w:val="en-GB"/>
      <w14:ligatures w14:val="none"/>
    </w:rPr>
    <w:tblPr>
      <w:tblStyleRowBandSize w:val="1"/>
      <w:tblStyleColBandSize w:val="1"/>
      <w:tblBorders>
        <w:top w:val="single" w:sz="8" w:space="0" w:color="A02B93" w:themeColor="accent5"/>
        <w:bottom w:val="single" w:sz="8" w:space="0" w:color="A02B93" w:themeColor="accent5"/>
      </w:tblBorders>
    </w:tblPr>
    <w:tblStylePr w:type="firstRow">
      <w:rPr>
        <w:rFonts w:asciiTheme="majorHAnsi" w:eastAsiaTheme="majorEastAsia" w:hAnsiTheme="majorHAnsi" w:cstheme="majorBidi"/>
      </w:rPr>
      <w:tblPr/>
      <w:tcPr>
        <w:tcBorders>
          <w:top w:val="nil"/>
          <w:bottom w:val="single" w:sz="8" w:space="0" w:color="A02B93" w:themeColor="accent5"/>
        </w:tcBorders>
      </w:tcPr>
    </w:tblStylePr>
    <w:tblStylePr w:type="lastRow">
      <w:rPr>
        <w:b/>
        <w:bCs/>
        <w:color w:val="0E2841" w:themeColor="text2"/>
      </w:rPr>
      <w:tblPr/>
      <w:tcPr>
        <w:tcBorders>
          <w:top w:val="single" w:sz="8" w:space="0" w:color="A02B93" w:themeColor="accent5"/>
          <w:bottom w:val="single" w:sz="8" w:space="0" w:color="A02B93" w:themeColor="accent5"/>
        </w:tcBorders>
      </w:tcPr>
    </w:tblStylePr>
    <w:tblStylePr w:type="firstCol">
      <w:rPr>
        <w:b/>
        <w:bCs/>
      </w:rPr>
    </w:tblStylePr>
    <w:tblStylePr w:type="lastCol">
      <w:rPr>
        <w:b/>
        <w:bCs/>
      </w:rPr>
      <w:tblPr/>
      <w:tcPr>
        <w:tcBorders>
          <w:top w:val="single" w:sz="8" w:space="0" w:color="A02B93" w:themeColor="accent5"/>
          <w:bottom w:val="single" w:sz="8" w:space="0" w:color="A02B93" w:themeColor="accent5"/>
        </w:tcBorders>
      </w:tcPr>
    </w:tblStylePr>
    <w:tblStylePr w:type="band1Vert">
      <w:tblPr/>
      <w:tcPr>
        <w:shd w:val="clear" w:color="auto" w:fill="EFC3E9" w:themeFill="accent5" w:themeFillTint="3F"/>
      </w:tcPr>
    </w:tblStylePr>
    <w:tblStylePr w:type="band1Horz">
      <w:tblPr/>
      <w:tcPr>
        <w:shd w:val="clear" w:color="auto" w:fill="EFC3E9" w:themeFill="accent5" w:themeFillTint="3F"/>
      </w:tcPr>
    </w:tblStylePr>
  </w:style>
  <w:style w:type="table" w:styleId="MediumList1-Accent6">
    <w:name w:val="Medium List 1 Accent 6"/>
    <w:basedOn w:val="TableNormal"/>
    <w:uiPriority w:val="65"/>
    <w:semiHidden/>
    <w:unhideWhenUsed/>
    <w:rsid w:val="00C30033"/>
    <w:pPr>
      <w:spacing w:after="0" w:line="240" w:lineRule="auto"/>
    </w:pPr>
    <w:rPr>
      <w:color w:val="000000" w:themeColor="text1"/>
      <w:kern w:val="0"/>
      <w:sz w:val="22"/>
      <w:szCs w:val="22"/>
      <w:lang w:val="en-GB"/>
      <w14:ligatures w14:val="none"/>
    </w:rPr>
    <w:tblPr>
      <w:tblStyleRowBandSize w:val="1"/>
      <w:tblStyleColBandSize w:val="1"/>
      <w:tblBorders>
        <w:top w:val="single" w:sz="8" w:space="0" w:color="4EA72E" w:themeColor="accent6"/>
        <w:bottom w:val="single" w:sz="8" w:space="0" w:color="4EA72E" w:themeColor="accent6"/>
      </w:tblBorders>
    </w:tblPr>
    <w:tblStylePr w:type="firstRow">
      <w:rPr>
        <w:rFonts w:asciiTheme="majorHAnsi" w:eastAsiaTheme="majorEastAsia" w:hAnsiTheme="majorHAnsi" w:cstheme="majorBidi"/>
      </w:rPr>
      <w:tblPr/>
      <w:tcPr>
        <w:tcBorders>
          <w:top w:val="nil"/>
          <w:bottom w:val="single" w:sz="8" w:space="0" w:color="4EA72E" w:themeColor="accent6"/>
        </w:tcBorders>
      </w:tcPr>
    </w:tblStylePr>
    <w:tblStylePr w:type="lastRow">
      <w:rPr>
        <w:b/>
        <w:bCs/>
        <w:color w:val="0E2841" w:themeColor="text2"/>
      </w:rPr>
      <w:tblPr/>
      <w:tcPr>
        <w:tcBorders>
          <w:top w:val="single" w:sz="8" w:space="0" w:color="4EA72E" w:themeColor="accent6"/>
          <w:bottom w:val="single" w:sz="8" w:space="0" w:color="4EA72E" w:themeColor="accent6"/>
        </w:tcBorders>
      </w:tcPr>
    </w:tblStylePr>
    <w:tblStylePr w:type="firstCol">
      <w:rPr>
        <w:b/>
        <w:bCs/>
      </w:rPr>
    </w:tblStylePr>
    <w:tblStylePr w:type="lastCol">
      <w:rPr>
        <w:b/>
        <w:bCs/>
      </w:rPr>
      <w:tblPr/>
      <w:tcPr>
        <w:tcBorders>
          <w:top w:val="single" w:sz="8" w:space="0" w:color="4EA72E" w:themeColor="accent6"/>
          <w:bottom w:val="single" w:sz="8" w:space="0" w:color="4EA72E" w:themeColor="accent6"/>
        </w:tcBorders>
      </w:tcPr>
    </w:tblStylePr>
    <w:tblStylePr w:type="band1Vert">
      <w:tblPr/>
      <w:tcPr>
        <w:shd w:val="clear" w:color="auto" w:fill="D0EFC5" w:themeFill="accent6" w:themeFillTint="3F"/>
      </w:tcPr>
    </w:tblStylePr>
    <w:tblStylePr w:type="band1Horz">
      <w:tblPr/>
      <w:tcPr>
        <w:shd w:val="clear" w:color="auto" w:fill="D0EFC5" w:themeFill="accent6" w:themeFillTint="3F"/>
      </w:tcPr>
    </w:tblStylePr>
  </w:style>
  <w:style w:type="table" w:styleId="MediumList2">
    <w:name w:val="Medium List 2"/>
    <w:basedOn w:val="TableNormal"/>
    <w:uiPriority w:val="66"/>
    <w:semiHidden/>
    <w:unhideWhenUsed/>
    <w:rsid w:val="00C30033"/>
    <w:pPr>
      <w:spacing w:after="0" w:line="240" w:lineRule="auto"/>
    </w:pPr>
    <w:rPr>
      <w:rFonts w:asciiTheme="majorHAnsi" w:eastAsiaTheme="majorEastAsia" w:hAnsiTheme="majorHAnsi" w:cstheme="majorBidi"/>
      <w:color w:val="000000" w:themeColor="text1"/>
      <w:kern w:val="0"/>
      <w:sz w:val="22"/>
      <w:szCs w:val="22"/>
      <w:lang w:val="en-GB"/>
      <w14:ligatures w14:val="non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C30033"/>
    <w:pPr>
      <w:spacing w:after="0" w:line="240" w:lineRule="auto"/>
    </w:pPr>
    <w:rPr>
      <w:rFonts w:asciiTheme="majorHAnsi" w:eastAsiaTheme="majorEastAsia" w:hAnsiTheme="majorHAnsi" w:cstheme="majorBidi"/>
      <w:color w:val="000000" w:themeColor="text1"/>
      <w:kern w:val="0"/>
      <w:sz w:val="22"/>
      <w:szCs w:val="22"/>
      <w:lang w:val="en-GB"/>
      <w14:ligatures w14:val="none"/>
    </w:rPr>
    <w:tblPr>
      <w:tblStyleRowBandSize w:val="1"/>
      <w:tblStyleColBandSize w:val="1"/>
      <w:tblBorders>
        <w:top w:val="single" w:sz="8" w:space="0" w:color="156082" w:themeColor="accent1"/>
        <w:left w:val="single" w:sz="8" w:space="0" w:color="156082" w:themeColor="accent1"/>
        <w:bottom w:val="single" w:sz="8" w:space="0" w:color="156082" w:themeColor="accent1"/>
        <w:right w:val="single" w:sz="8" w:space="0" w:color="156082" w:themeColor="accent1"/>
      </w:tblBorders>
    </w:tblPr>
    <w:tblStylePr w:type="firstRow">
      <w:rPr>
        <w:sz w:val="24"/>
        <w:szCs w:val="24"/>
      </w:rPr>
      <w:tblPr/>
      <w:tcPr>
        <w:tcBorders>
          <w:top w:val="nil"/>
          <w:left w:val="nil"/>
          <w:bottom w:val="single" w:sz="24" w:space="0" w:color="156082" w:themeColor="accent1"/>
          <w:right w:val="nil"/>
          <w:insideH w:val="nil"/>
          <w:insideV w:val="nil"/>
        </w:tcBorders>
        <w:shd w:val="clear" w:color="auto" w:fill="FFFFFF" w:themeFill="background1"/>
      </w:tcPr>
    </w:tblStylePr>
    <w:tblStylePr w:type="lastRow">
      <w:tblPr/>
      <w:tcPr>
        <w:tcBorders>
          <w:top w:val="single" w:sz="8" w:space="0" w:color="156082"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156082" w:themeColor="accent1"/>
          <w:insideH w:val="nil"/>
          <w:insideV w:val="nil"/>
        </w:tcBorders>
        <w:shd w:val="clear" w:color="auto" w:fill="FFFFFF" w:themeFill="background1"/>
      </w:tcPr>
    </w:tblStylePr>
    <w:tblStylePr w:type="lastCol">
      <w:tblPr/>
      <w:tcPr>
        <w:tcBorders>
          <w:top w:val="nil"/>
          <w:left w:val="single" w:sz="8" w:space="0" w:color="156082"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2DEF2" w:themeFill="accent1" w:themeFillTint="3F"/>
      </w:tcPr>
    </w:tblStylePr>
    <w:tblStylePr w:type="band1Horz">
      <w:tblPr/>
      <w:tcPr>
        <w:tcBorders>
          <w:top w:val="nil"/>
          <w:bottom w:val="nil"/>
          <w:insideH w:val="nil"/>
          <w:insideV w:val="nil"/>
        </w:tcBorders>
        <w:shd w:val="clear" w:color="auto" w:fill="B2DEF2"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C30033"/>
    <w:pPr>
      <w:spacing w:after="0" w:line="240" w:lineRule="auto"/>
    </w:pPr>
    <w:rPr>
      <w:rFonts w:asciiTheme="majorHAnsi" w:eastAsiaTheme="majorEastAsia" w:hAnsiTheme="majorHAnsi" w:cstheme="majorBidi"/>
      <w:color w:val="000000" w:themeColor="text1"/>
      <w:kern w:val="0"/>
      <w:sz w:val="22"/>
      <w:szCs w:val="22"/>
      <w:lang w:val="en-GB"/>
      <w14:ligatures w14:val="none"/>
    </w:rPr>
    <w:tblPr>
      <w:tblStyleRowBandSize w:val="1"/>
      <w:tblStyleColBandSize w:val="1"/>
      <w:tblBorders>
        <w:top w:val="single" w:sz="8" w:space="0" w:color="E97132" w:themeColor="accent2"/>
        <w:left w:val="single" w:sz="8" w:space="0" w:color="E97132" w:themeColor="accent2"/>
        <w:bottom w:val="single" w:sz="8" w:space="0" w:color="E97132" w:themeColor="accent2"/>
        <w:right w:val="single" w:sz="8" w:space="0" w:color="E97132" w:themeColor="accent2"/>
      </w:tblBorders>
    </w:tblPr>
    <w:tblStylePr w:type="firstRow">
      <w:rPr>
        <w:sz w:val="24"/>
        <w:szCs w:val="24"/>
      </w:rPr>
      <w:tblPr/>
      <w:tcPr>
        <w:tcBorders>
          <w:top w:val="nil"/>
          <w:left w:val="nil"/>
          <w:bottom w:val="single" w:sz="24" w:space="0" w:color="E97132" w:themeColor="accent2"/>
          <w:right w:val="nil"/>
          <w:insideH w:val="nil"/>
          <w:insideV w:val="nil"/>
        </w:tcBorders>
        <w:shd w:val="clear" w:color="auto" w:fill="FFFFFF" w:themeFill="background1"/>
      </w:tcPr>
    </w:tblStylePr>
    <w:tblStylePr w:type="lastRow">
      <w:tblPr/>
      <w:tcPr>
        <w:tcBorders>
          <w:top w:val="single" w:sz="8" w:space="0" w:color="E97132" w:themeColor="accent2"/>
          <w:left w:val="nil"/>
          <w:right w:val="nil"/>
          <w:insideH w:val="nil"/>
          <w:insideV w:val="nil"/>
        </w:tcBorders>
        <w:shd w:val="clear" w:color="auto" w:fill="FFFFFF" w:themeFill="background1"/>
      </w:tcPr>
    </w:tblStylePr>
    <w:tblStylePr w:type="firstCol">
      <w:tblPr/>
      <w:tcPr>
        <w:tcBorders>
          <w:top w:val="nil"/>
          <w:left w:val="nil"/>
          <w:bottom w:val="nil"/>
          <w:right w:val="single" w:sz="8" w:space="0" w:color="E97132" w:themeColor="accent2"/>
          <w:insideH w:val="nil"/>
          <w:insideV w:val="nil"/>
        </w:tcBorders>
        <w:shd w:val="clear" w:color="auto" w:fill="FFFFFF" w:themeFill="background1"/>
      </w:tcPr>
    </w:tblStylePr>
    <w:tblStylePr w:type="lastCol">
      <w:tblPr/>
      <w:tcPr>
        <w:tcBorders>
          <w:top w:val="nil"/>
          <w:left w:val="single" w:sz="8" w:space="0" w:color="E97132"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9DBCC" w:themeFill="accent2" w:themeFillTint="3F"/>
      </w:tcPr>
    </w:tblStylePr>
    <w:tblStylePr w:type="band1Horz">
      <w:tblPr/>
      <w:tcPr>
        <w:tcBorders>
          <w:top w:val="nil"/>
          <w:bottom w:val="nil"/>
          <w:insideH w:val="nil"/>
          <w:insideV w:val="nil"/>
        </w:tcBorders>
        <w:shd w:val="clear" w:color="auto" w:fill="F9DBCC"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C30033"/>
    <w:pPr>
      <w:spacing w:after="0" w:line="240" w:lineRule="auto"/>
    </w:pPr>
    <w:rPr>
      <w:rFonts w:asciiTheme="majorHAnsi" w:eastAsiaTheme="majorEastAsia" w:hAnsiTheme="majorHAnsi" w:cstheme="majorBidi"/>
      <w:color w:val="000000" w:themeColor="text1"/>
      <w:kern w:val="0"/>
      <w:sz w:val="22"/>
      <w:szCs w:val="22"/>
      <w:lang w:val="en-GB"/>
      <w14:ligatures w14:val="none"/>
    </w:rPr>
    <w:tblPr>
      <w:tblStyleRowBandSize w:val="1"/>
      <w:tblStyleColBandSize w:val="1"/>
      <w:tblBorders>
        <w:top w:val="single" w:sz="8" w:space="0" w:color="196B24" w:themeColor="accent3"/>
        <w:left w:val="single" w:sz="8" w:space="0" w:color="196B24" w:themeColor="accent3"/>
        <w:bottom w:val="single" w:sz="8" w:space="0" w:color="196B24" w:themeColor="accent3"/>
        <w:right w:val="single" w:sz="8" w:space="0" w:color="196B24" w:themeColor="accent3"/>
      </w:tblBorders>
    </w:tblPr>
    <w:tblStylePr w:type="firstRow">
      <w:rPr>
        <w:sz w:val="24"/>
        <w:szCs w:val="24"/>
      </w:rPr>
      <w:tblPr/>
      <w:tcPr>
        <w:tcBorders>
          <w:top w:val="nil"/>
          <w:left w:val="nil"/>
          <w:bottom w:val="single" w:sz="24" w:space="0" w:color="196B24" w:themeColor="accent3"/>
          <w:right w:val="nil"/>
          <w:insideH w:val="nil"/>
          <w:insideV w:val="nil"/>
        </w:tcBorders>
        <w:shd w:val="clear" w:color="auto" w:fill="FFFFFF" w:themeFill="background1"/>
      </w:tcPr>
    </w:tblStylePr>
    <w:tblStylePr w:type="lastRow">
      <w:tblPr/>
      <w:tcPr>
        <w:tcBorders>
          <w:top w:val="single" w:sz="8" w:space="0" w:color="196B24"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196B24" w:themeColor="accent3"/>
          <w:insideH w:val="nil"/>
          <w:insideV w:val="nil"/>
        </w:tcBorders>
        <w:shd w:val="clear" w:color="auto" w:fill="FFFFFF" w:themeFill="background1"/>
      </w:tcPr>
    </w:tblStylePr>
    <w:tblStylePr w:type="lastCol">
      <w:tblPr/>
      <w:tcPr>
        <w:tcBorders>
          <w:top w:val="nil"/>
          <w:left w:val="single" w:sz="8" w:space="0" w:color="196B24"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3EDBA" w:themeFill="accent3" w:themeFillTint="3F"/>
      </w:tcPr>
    </w:tblStylePr>
    <w:tblStylePr w:type="band1Horz">
      <w:tblPr/>
      <w:tcPr>
        <w:tcBorders>
          <w:top w:val="nil"/>
          <w:bottom w:val="nil"/>
          <w:insideH w:val="nil"/>
          <w:insideV w:val="nil"/>
        </w:tcBorders>
        <w:shd w:val="clear" w:color="auto" w:fill="B3EDBA"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C30033"/>
    <w:pPr>
      <w:spacing w:after="0" w:line="240" w:lineRule="auto"/>
    </w:pPr>
    <w:rPr>
      <w:rFonts w:asciiTheme="majorHAnsi" w:eastAsiaTheme="majorEastAsia" w:hAnsiTheme="majorHAnsi" w:cstheme="majorBidi"/>
      <w:color w:val="000000" w:themeColor="text1"/>
      <w:kern w:val="0"/>
      <w:sz w:val="22"/>
      <w:szCs w:val="22"/>
      <w:lang w:val="en-GB"/>
      <w14:ligatures w14:val="none"/>
    </w:rPr>
    <w:tblPr>
      <w:tblStyleRowBandSize w:val="1"/>
      <w:tblStyleColBandSize w:val="1"/>
      <w:tblBorders>
        <w:top w:val="single" w:sz="8" w:space="0" w:color="0F9ED5" w:themeColor="accent4"/>
        <w:left w:val="single" w:sz="8" w:space="0" w:color="0F9ED5" w:themeColor="accent4"/>
        <w:bottom w:val="single" w:sz="8" w:space="0" w:color="0F9ED5" w:themeColor="accent4"/>
        <w:right w:val="single" w:sz="8" w:space="0" w:color="0F9ED5" w:themeColor="accent4"/>
      </w:tblBorders>
    </w:tblPr>
    <w:tblStylePr w:type="firstRow">
      <w:rPr>
        <w:sz w:val="24"/>
        <w:szCs w:val="24"/>
      </w:rPr>
      <w:tblPr/>
      <w:tcPr>
        <w:tcBorders>
          <w:top w:val="nil"/>
          <w:left w:val="nil"/>
          <w:bottom w:val="single" w:sz="24" w:space="0" w:color="0F9ED5" w:themeColor="accent4"/>
          <w:right w:val="nil"/>
          <w:insideH w:val="nil"/>
          <w:insideV w:val="nil"/>
        </w:tcBorders>
        <w:shd w:val="clear" w:color="auto" w:fill="FFFFFF" w:themeFill="background1"/>
      </w:tcPr>
    </w:tblStylePr>
    <w:tblStylePr w:type="lastRow">
      <w:tblPr/>
      <w:tcPr>
        <w:tcBorders>
          <w:top w:val="single" w:sz="8" w:space="0" w:color="0F9ED5"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F9ED5" w:themeColor="accent4"/>
          <w:insideH w:val="nil"/>
          <w:insideV w:val="nil"/>
        </w:tcBorders>
        <w:shd w:val="clear" w:color="auto" w:fill="FFFFFF" w:themeFill="background1"/>
      </w:tcPr>
    </w:tblStylePr>
    <w:tblStylePr w:type="lastCol">
      <w:tblPr/>
      <w:tcPr>
        <w:tcBorders>
          <w:top w:val="nil"/>
          <w:left w:val="single" w:sz="8" w:space="0" w:color="0F9ED5"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DE9FA" w:themeFill="accent4" w:themeFillTint="3F"/>
      </w:tcPr>
    </w:tblStylePr>
    <w:tblStylePr w:type="band1Horz">
      <w:tblPr/>
      <w:tcPr>
        <w:tcBorders>
          <w:top w:val="nil"/>
          <w:bottom w:val="nil"/>
          <w:insideH w:val="nil"/>
          <w:insideV w:val="nil"/>
        </w:tcBorders>
        <w:shd w:val="clear" w:color="auto" w:fill="BDE9FA"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C30033"/>
    <w:pPr>
      <w:spacing w:after="0" w:line="240" w:lineRule="auto"/>
    </w:pPr>
    <w:rPr>
      <w:rFonts w:asciiTheme="majorHAnsi" w:eastAsiaTheme="majorEastAsia" w:hAnsiTheme="majorHAnsi" w:cstheme="majorBidi"/>
      <w:color w:val="000000" w:themeColor="text1"/>
      <w:kern w:val="0"/>
      <w:sz w:val="22"/>
      <w:szCs w:val="22"/>
      <w:lang w:val="en-GB"/>
      <w14:ligatures w14:val="none"/>
    </w:rPr>
    <w:tblPr>
      <w:tblStyleRowBandSize w:val="1"/>
      <w:tblStyleColBandSize w:val="1"/>
      <w:tblBorders>
        <w:top w:val="single" w:sz="8" w:space="0" w:color="A02B93" w:themeColor="accent5"/>
        <w:left w:val="single" w:sz="8" w:space="0" w:color="A02B93" w:themeColor="accent5"/>
        <w:bottom w:val="single" w:sz="8" w:space="0" w:color="A02B93" w:themeColor="accent5"/>
        <w:right w:val="single" w:sz="8" w:space="0" w:color="A02B93" w:themeColor="accent5"/>
      </w:tblBorders>
    </w:tblPr>
    <w:tblStylePr w:type="firstRow">
      <w:rPr>
        <w:sz w:val="24"/>
        <w:szCs w:val="24"/>
      </w:rPr>
      <w:tblPr/>
      <w:tcPr>
        <w:tcBorders>
          <w:top w:val="nil"/>
          <w:left w:val="nil"/>
          <w:bottom w:val="single" w:sz="24" w:space="0" w:color="A02B93" w:themeColor="accent5"/>
          <w:right w:val="nil"/>
          <w:insideH w:val="nil"/>
          <w:insideV w:val="nil"/>
        </w:tcBorders>
        <w:shd w:val="clear" w:color="auto" w:fill="FFFFFF" w:themeFill="background1"/>
      </w:tcPr>
    </w:tblStylePr>
    <w:tblStylePr w:type="lastRow">
      <w:tblPr/>
      <w:tcPr>
        <w:tcBorders>
          <w:top w:val="single" w:sz="8" w:space="0" w:color="A02B93"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02B93" w:themeColor="accent5"/>
          <w:insideH w:val="nil"/>
          <w:insideV w:val="nil"/>
        </w:tcBorders>
        <w:shd w:val="clear" w:color="auto" w:fill="FFFFFF" w:themeFill="background1"/>
      </w:tcPr>
    </w:tblStylePr>
    <w:tblStylePr w:type="lastCol">
      <w:tblPr/>
      <w:tcPr>
        <w:tcBorders>
          <w:top w:val="nil"/>
          <w:left w:val="single" w:sz="8" w:space="0" w:color="A02B93"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C3E9" w:themeFill="accent5" w:themeFillTint="3F"/>
      </w:tcPr>
    </w:tblStylePr>
    <w:tblStylePr w:type="band1Horz">
      <w:tblPr/>
      <w:tcPr>
        <w:tcBorders>
          <w:top w:val="nil"/>
          <w:bottom w:val="nil"/>
          <w:insideH w:val="nil"/>
          <w:insideV w:val="nil"/>
        </w:tcBorders>
        <w:shd w:val="clear" w:color="auto" w:fill="EFC3E9"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C30033"/>
    <w:pPr>
      <w:spacing w:after="0" w:line="240" w:lineRule="auto"/>
    </w:pPr>
    <w:rPr>
      <w:rFonts w:asciiTheme="majorHAnsi" w:eastAsiaTheme="majorEastAsia" w:hAnsiTheme="majorHAnsi" w:cstheme="majorBidi"/>
      <w:color w:val="000000" w:themeColor="text1"/>
      <w:kern w:val="0"/>
      <w:sz w:val="22"/>
      <w:szCs w:val="22"/>
      <w:lang w:val="en-GB"/>
      <w14:ligatures w14:val="none"/>
    </w:rPr>
    <w:tblPr>
      <w:tblStyleRowBandSize w:val="1"/>
      <w:tblStyleColBandSize w:val="1"/>
      <w:tblBorders>
        <w:top w:val="single" w:sz="8" w:space="0" w:color="4EA72E" w:themeColor="accent6"/>
        <w:left w:val="single" w:sz="8" w:space="0" w:color="4EA72E" w:themeColor="accent6"/>
        <w:bottom w:val="single" w:sz="8" w:space="0" w:color="4EA72E" w:themeColor="accent6"/>
        <w:right w:val="single" w:sz="8" w:space="0" w:color="4EA72E" w:themeColor="accent6"/>
      </w:tblBorders>
    </w:tblPr>
    <w:tblStylePr w:type="firstRow">
      <w:rPr>
        <w:sz w:val="24"/>
        <w:szCs w:val="24"/>
      </w:rPr>
      <w:tblPr/>
      <w:tcPr>
        <w:tcBorders>
          <w:top w:val="nil"/>
          <w:left w:val="nil"/>
          <w:bottom w:val="single" w:sz="24" w:space="0" w:color="4EA72E" w:themeColor="accent6"/>
          <w:right w:val="nil"/>
          <w:insideH w:val="nil"/>
          <w:insideV w:val="nil"/>
        </w:tcBorders>
        <w:shd w:val="clear" w:color="auto" w:fill="FFFFFF" w:themeFill="background1"/>
      </w:tcPr>
    </w:tblStylePr>
    <w:tblStylePr w:type="lastRow">
      <w:tblPr/>
      <w:tcPr>
        <w:tcBorders>
          <w:top w:val="single" w:sz="8" w:space="0" w:color="4EA72E"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EA72E" w:themeColor="accent6"/>
          <w:insideH w:val="nil"/>
          <w:insideV w:val="nil"/>
        </w:tcBorders>
        <w:shd w:val="clear" w:color="auto" w:fill="FFFFFF" w:themeFill="background1"/>
      </w:tcPr>
    </w:tblStylePr>
    <w:tblStylePr w:type="lastCol">
      <w:tblPr/>
      <w:tcPr>
        <w:tcBorders>
          <w:top w:val="nil"/>
          <w:left w:val="single" w:sz="8" w:space="0" w:color="4EA72E"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EFC5" w:themeFill="accent6" w:themeFillTint="3F"/>
      </w:tcPr>
    </w:tblStylePr>
    <w:tblStylePr w:type="band1Horz">
      <w:tblPr/>
      <w:tcPr>
        <w:tcBorders>
          <w:top w:val="nil"/>
          <w:bottom w:val="nil"/>
          <w:insideH w:val="nil"/>
          <w:insideV w:val="nil"/>
        </w:tcBorders>
        <w:shd w:val="clear" w:color="auto" w:fill="D0EFC5"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unhideWhenUsed/>
    <w:rsid w:val="00C30033"/>
    <w:pPr>
      <w:spacing w:after="0" w:line="240" w:lineRule="auto"/>
    </w:pPr>
    <w:rPr>
      <w:kern w:val="0"/>
      <w:sz w:val="22"/>
      <w:szCs w:val="22"/>
      <w:lang w:val="en-GB"/>
      <w14:ligatures w14:val="none"/>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rsid w:val="00C30033"/>
    <w:pPr>
      <w:spacing w:after="0" w:line="240" w:lineRule="auto"/>
    </w:pPr>
    <w:rPr>
      <w:kern w:val="0"/>
      <w:sz w:val="22"/>
      <w:szCs w:val="22"/>
      <w:lang w:val="en-GB"/>
      <w14:ligatures w14:val="none"/>
    </w:rPr>
    <w:tblPr>
      <w:tblStyleRowBandSize w:val="1"/>
      <w:tblStyleColBandSize w:val="1"/>
      <w:tblBorders>
        <w:top w:val="single" w:sz="8" w:space="0" w:color="2198CF" w:themeColor="accent1" w:themeTint="BF"/>
        <w:left w:val="single" w:sz="8" w:space="0" w:color="2198CF" w:themeColor="accent1" w:themeTint="BF"/>
        <w:bottom w:val="single" w:sz="8" w:space="0" w:color="2198CF" w:themeColor="accent1" w:themeTint="BF"/>
        <w:right w:val="single" w:sz="8" w:space="0" w:color="2198CF" w:themeColor="accent1" w:themeTint="BF"/>
        <w:insideH w:val="single" w:sz="8" w:space="0" w:color="2198CF" w:themeColor="accent1" w:themeTint="BF"/>
      </w:tblBorders>
    </w:tblPr>
    <w:tblStylePr w:type="firstRow">
      <w:pPr>
        <w:spacing w:before="0" w:after="0" w:line="240" w:lineRule="auto"/>
      </w:pPr>
      <w:rPr>
        <w:b/>
        <w:bCs/>
        <w:color w:val="FFFFFF" w:themeColor="background1"/>
      </w:rPr>
      <w:tblPr/>
      <w:tcPr>
        <w:tcBorders>
          <w:top w:val="single" w:sz="8" w:space="0" w:color="2198CF" w:themeColor="accent1" w:themeTint="BF"/>
          <w:left w:val="single" w:sz="8" w:space="0" w:color="2198CF" w:themeColor="accent1" w:themeTint="BF"/>
          <w:bottom w:val="single" w:sz="8" w:space="0" w:color="2198CF" w:themeColor="accent1" w:themeTint="BF"/>
          <w:right w:val="single" w:sz="8" w:space="0" w:color="2198CF" w:themeColor="accent1" w:themeTint="BF"/>
          <w:insideH w:val="nil"/>
          <w:insideV w:val="nil"/>
        </w:tcBorders>
        <w:shd w:val="clear" w:color="auto" w:fill="156082" w:themeFill="accent1"/>
      </w:tcPr>
    </w:tblStylePr>
    <w:tblStylePr w:type="lastRow">
      <w:pPr>
        <w:spacing w:before="0" w:after="0" w:line="240" w:lineRule="auto"/>
      </w:pPr>
      <w:rPr>
        <w:b/>
        <w:bCs/>
      </w:rPr>
      <w:tblPr/>
      <w:tcPr>
        <w:tcBorders>
          <w:top w:val="double" w:sz="6" w:space="0" w:color="2198CF" w:themeColor="accent1" w:themeTint="BF"/>
          <w:left w:val="single" w:sz="8" w:space="0" w:color="2198CF" w:themeColor="accent1" w:themeTint="BF"/>
          <w:bottom w:val="single" w:sz="8" w:space="0" w:color="2198CF" w:themeColor="accent1" w:themeTint="BF"/>
          <w:right w:val="single" w:sz="8" w:space="0" w:color="2198CF" w:themeColor="accent1" w:themeTint="BF"/>
          <w:insideH w:val="nil"/>
          <w:insideV w:val="nil"/>
        </w:tcBorders>
      </w:tcPr>
    </w:tblStylePr>
    <w:tblStylePr w:type="firstCol">
      <w:rPr>
        <w:b/>
        <w:bCs/>
      </w:rPr>
    </w:tblStylePr>
    <w:tblStylePr w:type="lastCol">
      <w:rPr>
        <w:b/>
        <w:bCs/>
      </w:rPr>
    </w:tblStylePr>
    <w:tblStylePr w:type="band1Vert">
      <w:tblPr/>
      <w:tcPr>
        <w:shd w:val="clear" w:color="auto" w:fill="B2DEF2" w:themeFill="accent1" w:themeFillTint="3F"/>
      </w:tcPr>
    </w:tblStylePr>
    <w:tblStylePr w:type="band1Horz">
      <w:tblPr/>
      <w:tcPr>
        <w:tcBorders>
          <w:insideH w:val="nil"/>
          <w:insideV w:val="nil"/>
        </w:tcBorders>
        <w:shd w:val="clear" w:color="auto" w:fill="B2DEF2"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C30033"/>
    <w:pPr>
      <w:spacing w:after="0" w:line="240" w:lineRule="auto"/>
    </w:pPr>
    <w:rPr>
      <w:kern w:val="0"/>
      <w:sz w:val="22"/>
      <w:szCs w:val="22"/>
      <w:lang w:val="en-GB"/>
      <w14:ligatures w14:val="none"/>
    </w:rPr>
    <w:tblPr>
      <w:tblStyleRowBandSize w:val="1"/>
      <w:tblStyleColBandSize w:val="1"/>
      <w:tblBorders>
        <w:top w:val="single" w:sz="8" w:space="0" w:color="EE9465" w:themeColor="accent2" w:themeTint="BF"/>
        <w:left w:val="single" w:sz="8" w:space="0" w:color="EE9465" w:themeColor="accent2" w:themeTint="BF"/>
        <w:bottom w:val="single" w:sz="8" w:space="0" w:color="EE9465" w:themeColor="accent2" w:themeTint="BF"/>
        <w:right w:val="single" w:sz="8" w:space="0" w:color="EE9465" w:themeColor="accent2" w:themeTint="BF"/>
        <w:insideH w:val="single" w:sz="8" w:space="0" w:color="EE9465" w:themeColor="accent2" w:themeTint="BF"/>
      </w:tblBorders>
    </w:tblPr>
    <w:tblStylePr w:type="firstRow">
      <w:pPr>
        <w:spacing w:before="0" w:after="0" w:line="240" w:lineRule="auto"/>
      </w:pPr>
      <w:rPr>
        <w:b/>
        <w:bCs/>
        <w:color w:val="FFFFFF" w:themeColor="background1"/>
      </w:rPr>
      <w:tblPr/>
      <w:tcPr>
        <w:tcBorders>
          <w:top w:val="single" w:sz="8" w:space="0" w:color="EE9465" w:themeColor="accent2" w:themeTint="BF"/>
          <w:left w:val="single" w:sz="8" w:space="0" w:color="EE9465" w:themeColor="accent2" w:themeTint="BF"/>
          <w:bottom w:val="single" w:sz="8" w:space="0" w:color="EE9465" w:themeColor="accent2" w:themeTint="BF"/>
          <w:right w:val="single" w:sz="8" w:space="0" w:color="EE9465" w:themeColor="accent2" w:themeTint="BF"/>
          <w:insideH w:val="nil"/>
          <w:insideV w:val="nil"/>
        </w:tcBorders>
        <w:shd w:val="clear" w:color="auto" w:fill="E97132" w:themeFill="accent2"/>
      </w:tcPr>
    </w:tblStylePr>
    <w:tblStylePr w:type="lastRow">
      <w:pPr>
        <w:spacing w:before="0" w:after="0" w:line="240" w:lineRule="auto"/>
      </w:pPr>
      <w:rPr>
        <w:b/>
        <w:bCs/>
      </w:rPr>
      <w:tblPr/>
      <w:tcPr>
        <w:tcBorders>
          <w:top w:val="double" w:sz="6" w:space="0" w:color="EE9465" w:themeColor="accent2" w:themeTint="BF"/>
          <w:left w:val="single" w:sz="8" w:space="0" w:color="EE9465" w:themeColor="accent2" w:themeTint="BF"/>
          <w:bottom w:val="single" w:sz="8" w:space="0" w:color="EE9465" w:themeColor="accent2" w:themeTint="BF"/>
          <w:right w:val="single" w:sz="8" w:space="0" w:color="EE9465" w:themeColor="accent2" w:themeTint="BF"/>
          <w:insideH w:val="nil"/>
          <w:insideV w:val="nil"/>
        </w:tcBorders>
      </w:tcPr>
    </w:tblStylePr>
    <w:tblStylePr w:type="firstCol">
      <w:rPr>
        <w:b/>
        <w:bCs/>
      </w:rPr>
    </w:tblStylePr>
    <w:tblStylePr w:type="lastCol">
      <w:rPr>
        <w:b/>
        <w:bCs/>
      </w:rPr>
    </w:tblStylePr>
    <w:tblStylePr w:type="band1Vert">
      <w:tblPr/>
      <w:tcPr>
        <w:shd w:val="clear" w:color="auto" w:fill="F9DBCC" w:themeFill="accent2" w:themeFillTint="3F"/>
      </w:tcPr>
    </w:tblStylePr>
    <w:tblStylePr w:type="band1Horz">
      <w:tblPr/>
      <w:tcPr>
        <w:tcBorders>
          <w:insideH w:val="nil"/>
          <w:insideV w:val="nil"/>
        </w:tcBorders>
        <w:shd w:val="clear" w:color="auto" w:fill="F9DBCC"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C30033"/>
    <w:pPr>
      <w:spacing w:after="0" w:line="240" w:lineRule="auto"/>
    </w:pPr>
    <w:rPr>
      <w:kern w:val="0"/>
      <w:sz w:val="22"/>
      <w:szCs w:val="22"/>
      <w:lang w:val="en-GB"/>
      <w14:ligatures w14:val="none"/>
    </w:rPr>
    <w:tblPr>
      <w:tblStyleRowBandSize w:val="1"/>
      <w:tblStyleColBandSize w:val="1"/>
      <w:tblBorders>
        <w:top w:val="single" w:sz="8" w:space="0" w:color="2BB73D" w:themeColor="accent3" w:themeTint="BF"/>
        <w:left w:val="single" w:sz="8" w:space="0" w:color="2BB73D" w:themeColor="accent3" w:themeTint="BF"/>
        <w:bottom w:val="single" w:sz="8" w:space="0" w:color="2BB73D" w:themeColor="accent3" w:themeTint="BF"/>
        <w:right w:val="single" w:sz="8" w:space="0" w:color="2BB73D" w:themeColor="accent3" w:themeTint="BF"/>
        <w:insideH w:val="single" w:sz="8" w:space="0" w:color="2BB73D" w:themeColor="accent3" w:themeTint="BF"/>
      </w:tblBorders>
    </w:tblPr>
    <w:tblStylePr w:type="firstRow">
      <w:pPr>
        <w:spacing w:before="0" w:after="0" w:line="240" w:lineRule="auto"/>
      </w:pPr>
      <w:rPr>
        <w:b/>
        <w:bCs/>
        <w:color w:val="FFFFFF" w:themeColor="background1"/>
      </w:rPr>
      <w:tblPr/>
      <w:tcPr>
        <w:tcBorders>
          <w:top w:val="single" w:sz="8" w:space="0" w:color="2BB73D" w:themeColor="accent3" w:themeTint="BF"/>
          <w:left w:val="single" w:sz="8" w:space="0" w:color="2BB73D" w:themeColor="accent3" w:themeTint="BF"/>
          <w:bottom w:val="single" w:sz="8" w:space="0" w:color="2BB73D" w:themeColor="accent3" w:themeTint="BF"/>
          <w:right w:val="single" w:sz="8" w:space="0" w:color="2BB73D" w:themeColor="accent3" w:themeTint="BF"/>
          <w:insideH w:val="nil"/>
          <w:insideV w:val="nil"/>
        </w:tcBorders>
        <w:shd w:val="clear" w:color="auto" w:fill="196B24" w:themeFill="accent3"/>
      </w:tcPr>
    </w:tblStylePr>
    <w:tblStylePr w:type="lastRow">
      <w:pPr>
        <w:spacing w:before="0" w:after="0" w:line="240" w:lineRule="auto"/>
      </w:pPr>
      <w:rPr>
        <w:b/>
        <w:bCs/>
      </w:rPr>
      <w:tblPr/>
      <w:tcPr>
        <w:tcBorders>
          <w:top w:val="double" w:sz="6" w:space="0" w:color="2BB73D" w:themeColor="accent3" w:themeTint="BF"/>
          <w:left w:val="single" w:sz="8" w:space="0" w:color="2BB73D" w:themeColor="accent3" w:themeTint="BF"/>
          <w:bottom w:val="single" w:sz="8" w:space="0" w:color="2BB73D" w:themeColor="accent3" w:themeTint="BF"/>
          <w:right w:val="single" w:sz="8" w:space="0" w:color="2BB73D" w:themeColor="accent3" w:themeTint="BF"/>
          <w:insideH w:val="nil"/>
          <w:insideV w:val="nil"/>
        </w:tcBorders>
      </w:tcPr>
    </w:tblStylePr>
    <w:tblStylePr w:type="firstCol">
      <w:rPr>
        <w:b/>
        <w:bCs/>
      </w:rPr>
    </w:tblStylePr>
    <w:tblStylePr w:type="lastCol">
      <w:rPr>
        <w:b/>
        <w:bCs/>
      </w:rPr>
    </w:tblStylePr>
    <w:tblStylePr w:type="band1Vert">
      <w:tblPr/>
      <w:tcPr>
        <w:shd w:val="clear" w:color="auto" w:fill="B3EDBA" w:themeFill="accent3" w:themeFillTint="3F"/>
      </w:tcPr>
    </w:tblStylePr>
    <w:tblStylePr w:type="band1Horz">
      <w:tblPr/>
      <w:tcPr>
        <w:tcBorders>
          <w:insideH w:val="nil"/>
          <w:insideV w:val="nil"/>
        </w:tcBorders>
        <w:shd w:val="clear" w:color="auto" w:fill="B3EDBA"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C30033"/>
    <w:pPr>
      <w:spacing w:after="0" w:line="240" w:lineRule="auto"/>
    </w:pPr>
    <w:rPr>
      <w:kern w:val="0"/>
      <w:sz w:val="22"/>
      <w:szCs w:val="22"/>
      <w:lang w:val="en-GB"/>
      <w14:ligatures w14:val="none"/>
    </w:rPr>
    <w:tblPr>
      <w:tblStyleRowBandSize w:val="1"/>
      <w:tblStyleColBandSize w:val="1"/>
      <w:tblBorders>
        <w:top w:val="single" w:sz="8" w:space="0" w:color="39BEF1" w:themeColor="accent4" w:themeTint="BF"/>
        <w:left w:val="single" w:sz="8" w:space="0" w:color="39BEF1" w:themeColor="accent4" w:themeTint="BF"/>
        <w:bottom w:val="single" w:sz="8" w:space="0" w:color="39BEF1" w:themeColor="accent4" w:themeTint="BF"/>
        <w:right w:val="single" w:sz="8" w:space="0" w:color="39BEF1" w:themeColor="accent4" w:themeTint="BF"/>
        <w:insideH w:val="single" w:sz="8" w:space="0" w:color="39BEF1" w:themeColor="accent4" w:themeTint="BF"/>
      </w:tblBorders>
    </w:tblPr>
    <w:tblStylePr w:type="firstRow">
      <w:pPr>
        <w:spacing w:before="0" w:after="0" w:line="240" w:lineRule="auto"/>
      </w:pPr>
      <w:rPr>
        <w:b/>
        <w:bCs/>
        <w:color w:val="FFFFFF" w:themeColor="background1"/>
      </w:rPr>
      <w:tblPr/>
      <w:tcPr>
        <w:tcBorders>
          <w:top w:val="single" w:sz="8" w:space="0" w:color="39BEF1" w:themeColor="accent4" w:themeTint="BF"/>
          <w:left w:val="single" w:sz="8" w:space="0" w:color="39BEF1" w:themeColor="accent4" w:themeTint="BF"/>
          <w:bottom w:val="single" w:sz="8" w:space="0" w:color="39BEF1" w:themeColor="accent4" w:themeTint="BF"/>
          <w:right w:val="single" w:sz="8" w:space="0" w:color="39BEF1" w:themeColor="accent4" w:themeTint="BF"/>
          <w:insideH w:val="nil"/>
          <w:insideV w:val="nil"/>
        </w:tcBorders>
        <w:shd w:val="clear" w:color="auto" w:fill="0F9ED5" w:themeFill="accent4"/>
      </w:tcPr>
    </w:tblStylePr>
    <w:tblStylePr w:type="lastRow">
      <w:pPr>
        <w:spacing w:before="0" w:after="0" w:line="240" w:lineRule="auto"/>
      </w:pPr>
      <w:rPr>
        <w:b/>
        <w:bCs/>
      </w:rPr>
      <w:tblPr/>
      <w:tcPr>
        <w:tcBorders>
          <w:top w:val="double" w:sz="6" w:space="0" w:color="39BEF1" w:themeColor="accent4" w:themeTint="BF"/>
          <w:left w:val="single" w:sz="8" w:space="0" w:color="39BEF1" w:themeColor="accent4" w:themeTint="BF"/>
          <w:bottom w:val="single" w:sz="8" w:space="0" w:color="39BEF1" w:themeColor="accent4" w:themeTint="BF"/>
          <w:right w:val="single" w:sz="8" w:space="0" w:color="39BEF1" w:themeColor="accent4" w:themeTint="BF"/>
          <w:insideH w:val="nil"/>
          <w:insideV w:val="nil"/>
        </w:tcBorders>
      </w:tcPr>
    </w:tblStylePr>
    <w:tblStylePr w:type="firstCol">
      <w:rPr>
        <w:b/>
        <w:bCs/>
      </w:rPr>
    </w:tblStylePr>
    <w:tblStylePr w:type="lastCol">
      <w:rPr>
        <w:b/>
        <w:bCs/>
      </w:rPr>
    </w:tblStylePr>
    <w:tblStylePr w:type="band1Vert">
      <w:tblPr/>
      <w:tcPr>
        <w:shd w:val="clear" w:color="auto" w:fill="BDE9FA" w:themeFill="accent4" w:themeFillTint="3F"/>
      </w:tcPr>
    </w:tblStylePr>
    <w:tblStylePr w:type="band1Horz">
      <w:tblPr/>
      <w:tcPr>
        <w:tcBorders>
          <w:insideH w:val="nil"/>
          <w:insideV w:val="nil"/>
        </w:tcBorders>
        <w:shd w:val="clear" w:color="auto" w:fill="BDE9FA"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C30033"/>
    <w:pPr>
      <w:spacing w:after="0" w:line="240" w:lineRule="auto"/>
    </w:pPr>
    <w:rPr>
      <w:kern w:val="0"/>
      <w:sz w:val="22"/>
      <w:szCs w:val="22"/>
      <w:lang w:val="en-GB"/>
      <w14:ligatures w14:val="none"/>
    </w:rPr>
    <w:tblPr>
      <w:tblStyleRowBandSize w:val="1"/>
      <w:tblStyleColBandSize w:val="1"/>
      <w:tblBorders>
        <w:top w:val="single" w:sz="8" w:space="0" w:color="CE49BF" w:themeColor="accent5" w:themeTint="BF"/>
        <w:left w:val="single" w:sz="8" w:space="0" w:color="CE49BF" w:themeColor="accent5" w:themeTint="BF"/>
        <w:bottom w:val="single" w:sz="8" w:space="0" w:color="CE49BF" w:themeColor="accent5" w:themeTint="BF"/>
        <w:right w:val="single" w:sz="8" w:space="0" w:color="CE49BF" w:themeColor="accent5" w:themeTint="BF"/>
        <w:insideH w:val="single" w:sz="8" w:space="0" w:color="CE49BF" w:themeColor="accent5" w:themeTint="BF"/>
      </w:tblBorders>
    </w:tblPr>
    <w:tblStylePr w:type="firstRow">
      <w:pPr>
        <w:spacing w:before="0" w:after="0" w:line="240" w:lineRule="auto"/>
      </w:pPr>
      <w:rPr>
        <w:b/>
        <w:bCs/>
        <w:color w:val="FFFFFF" w:themeColor="background1"/>
      </w:rPr>
      <w:tblPr/>
      <w:tcPr>
        <w:tcBorders>
          <w:top w:val="single" w:sz="8" w:space="0" w:color="CE49BF" w:themeColor="accent5" w:themeTint="BF"/>
          <w:left w:val="single" w:sz="8" w:space="0" w:color="CE49BF" w:themeColor="accent5" w:themeTint="BF"/>
          <w:bottom w:val="single" w:sz="8" w:space="0" w:color="CE49BF" w:themeColor="accent5" w:themeTint="BF"/>
          <w:right w:val="single" w:sz="8" w:space="0" w:color="CE49BF" w:themeColor="accent5" w:themeTint="BF"/>
          <w:insideH w:val="nil"/>
          <w:insideV w:val="nil"/>
        </w:tcBorders>
        <w:shd w:val="clear" w:color="auto" w:fill="A02B93" w:themeFill="accent5"/>
      </w:tcPr>
    </w:tblStylePr>
    <w:tblStylePr w:type="lastRow">
      <w:pPr>
        <w:spacing w:before="0" w:after="0" w:line="240" w:lineRule="auto"/>
      </w:pPr>
      <w:rPr>
        <w:b/>
        <w:bCs/>
      </w:rPr>
      <w:tblPr/>
      <w:tcPr>
        <w:tcBorders>
          <w:top w:val="double" w:sz="6" w:space="0" w:color="CE49BF" w:themeColor="accent5" w:themeTint="BF"/>
          <w:left w:val="single" w:sz="8" w:space="0" w:color="CE49BF" w:themeColor="accent5" w:themeTint="BF"/>
          <w:bottom w:val="single" w:sz="8" w:space="0" w:color="CE49BF" w:themeColor="accent5" w:themeTint="BF"/>
          <w:right w:val="single" w:sz="8" w:space="0" w:color="CE49BF" w:themeColor="accent5" w:themeTint="BF"/>
          <w:insideH w:val="nil"/>
          <w:insideV w:val="nil"/>
        </w:tcBorders>
      </w:tcPr>
    </w:tblStylePr>
    <w:tblStylePr w:type="firstCol">
      <w:rPr>
        <w:b/>
        <w:bCs/>
      </w:rPr>
    </w:tblStylePr>
    <w:tblStylePr w:type="lastCol">
      <w:rPr>
        <w:b/>
        <w:bCs/>
      </w:rPr>
    </w:tblStylePr>
    <w:tblStylePr w:type="band1Vert">
      <w:tblPr/>
      <w:tcPr>
        <w:shd w:val="clear" w:color="auto" w:fill="EFC3E9" w:themeFill="accent5" w:themeFillTint="3F"/>
      </w:tcPr>
    </w:tblStylePr>
    <w:tblStylePr w:type="band1Horz">
      <w:tblPr/>
      <w:tcPr>
        <w:tcBorders>
          <w:insideH w:val="nil"/>
          <w:insideV w:val="nil"/>
        </w:tcBorders>
        <w:shd w:val="clear" w:color="auto" w:fill="EFC3E9"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C30033"/>
    <w:pPr>
      <w:spacing w:after="0" w:line="240" w:lineRule="auto"/>
    </w:pPr>
    <w:rPr>
      <w:kern w:val="0"/>
      <w:sz w:val="22"/>
      <w:szCs w:val="22"/>
      <w:lang w:val="en-GB"/>
      <w14:ligatures w14:val="none"/>
    </w:rPr>
    <w:tblPr>
      <w:tblStyleRowBandSize w:val="1"/>
      <w:tblStyleColBandSize w:val="1"/>
      <w:tblBorders>
        <w:top w:val="single" w:sz="8" w:space="0" w:color="71CF50" w:themeColor="accent6" w:themeTint="BF"/>
        <w:left w:val="single" w:sz="8" w:space="0" w:color="71CF50" w:themeColor="accent6" w:themeTint="BF"/>
        <w:bottom w:val="single" w:sz="8" w:space="0" w:color="71CF50" w:themeColor="accent6" w:themeTint="BF"/>
        <w:right w:val="single" w:sz="8" w:space="0" w:color="71CF50" w:themeColor="accent6" w:themeTint="BF"/>
        <w:insideH w:val="single" w:sz="8" w:space="0" w:color="71CF50" w:themeColor="accent6" w:themeTint="BF"/>
      </w:tblBorders>
    </w:tblPr>
    <w:tblStylePr w:type="firstRow">
      <w:pPr>
        <w:spacing w:before="0" w:after="0" w:line="240" w:lineRule="auto"/>
      </w:pPr>
      <w:rPr>
        <w:b/>
        <w:bCs/>
        <w:color w:val="FFFFFF" w:themeColor="background1"/>
      </w:rPr>
      <w:tblPr/>
      <w:tcPr>
        <w:tcBorders>
          <w:top w:val="single" w:sz="8" w:space="0" w:color="71CF50" w:themeColor="accent6" w:themeTint="BF"/>
          <w:left w:val="single" w:sz="8" w:space="0" w:color="71CF50" w:themeColor="accent6" w:themeTint="BF"/>
          <w:bottom w:val="single" w:sz="8" w:space="0" w:color="71CF50" w:themeColor="accent6" w:themeTint="BF"/>
          <w:right w:val="single" w:sz="8" w:space="0" w:color="71CF50" w:themeColor="accent6" w:themeTint="BF"/>
          <w:insideH w:val="nil"/>
          <w:insideV w:val="nil"/>
        </w:tcBorders>
        <w:shd w:val="clear" w:color="auto" w:fill="4EA72E" w:themeFill="accent6"/>
      </w:tcPr>
    </w:tblStylePr>
    <w:tblStylePr w:type="lastRow">
      <w:pPr>
        <w:spacing w:before="0" w:after="0" w:line="240" w:lineRule="auto"/>
      </w:pPr>
      <w:rPr>
        <w:b/>
        <w:bCs/>
      </w:rPr>
      <w:tblPr/>
      <w:tcPr>
        <w:tcBorders>
          <w:top w:val="double" w:sz="6" w:space="0" w:color="71CF50" w:themeColor="accent6" w:themeTint="BF"/>
          <w:left w:val="single" w:sz="8" w:space="0" w:color="71CF50" w:themeColor="accent6" w:themeTint="BF"/>
          <w:bottom w:val="single" w:sz="8" w:space="0" w:color="71CF50" w:themeColor="accent6" w:themeTint="BF"/>
          <w:right w:val="single" w:sz="8" w:space="0" w:color="71CF50" w:themeColor="accent6" w:themeTint="BF"/>
          <w:insideH w:val="nil"/>
          <w:insideV w:val="nil"/>
        </w:tcBorders>
      </w:tcPr>
    </w:tblStylePr>
    <w:tblStylePr w:type="firstCol">
      <w:rPr>
        <w:b/>
        <w:bCs/>
      </w:rPr>
    </w:tblStylePr>
    <w:tblStylePr w:type="lastCol">
      <w:rPr>
        <w:b/>
        <w:bCs/>
      </w:rPr>
    </w:tblStylePr>
    <w:tblStylePr w:type="band1Vert">
      <w:tblPr/>
      <w:tcPr>
        <w:shd w:val="clear" w:color="auto" w:fill="D0EFC5" w:themeFill="accent6" w:themeFillTint="3F"/>
      </w:tcPr>
    </w:tblStylePr>
    <w:tblStylePr w:type="band1Horz">
      <w:tblPr/>
      <w:tcPr>
        <w:tcBorders>
          <w:insideH w:val="nil"/>
          <w:insideV w:val="nil"/>
        </w:tcBorders>
        <w:shd w:val="clear" w:color="auto" w:fill="D0EFC5"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C30033"/>
    <w:pPr>
      <w:spacing w:after="0" w:line="240" w:lineRule="auto"/>
    </w:pPr>
    <w:rPr>
      <w:kern w:val="0"/>
      <w:sz w:val="22"/>
      <w:szCs w:val="22"/>
      <w:lang w:val="en-GB"/>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semiHidden/>
    <w:unhideWhenUsed/>
    <w:rsid w:val="00C30033"/>
    <w:pPr>
      <w:spacing w:after="0" w:line="240" w:lineRule="auto"/>
    </w:pPr>
    <w:rPr>
      <w:kern w:val="0"/>
      <w:sz w:val="22"/>
      <w:szCs w:val="22"/>
      <w:lang w:val="en-GB"/>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156082"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156082" w:themeFill="accent1"/>
      </w:tcPr>
    </w:tblStylePr>
    <w:tblStylePr w:type="lastCol">
      <w:rPr>
        <w:b/>
        <w:bCs/>
        <w:color w:val="FFFFFF" w:themeColor="background1"/>
      </w:rPr>
      <w:tblPr/>
      <w:tcPr>
        <w:tcBorders>
          <w:left w:val="nil"/>
          <w:right w:val="nil"/>
          <w:insideH w:val="nil"/>
          <w:insideV w:val="nil"/>
        </w:tcBorders>
        <w:shd w:val="clear" w:color="auto" w:fill="156082"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semiHidden/>
    <w:unhideWhenUsed/>
    <w:rsid w:val="00C30033"/>
    <w:pPr>
      <w:spacing w:after="0" w:line="240" w:lineRule="auto"/>
    </w:pPr>
    <w:rPr>
      <w:kern w:val="0"/>
      <w:sz w:val="22"/>
      <w:szCs w:val="22"/>
      <w:lang w:val="en-GB"/>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97132"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97132" w:themeFill="accent2"/>
      </w:tcPr>
    </w:tblStylePr>
    <w:tblStylePr w:type="lastCol">
      <w:rPr>
        <w:b/>
        <w:bCs/>
        <w:color w:val="FFFFFF" w:themeColor="background1"/>
      </w:rPr>
      <w:tblPr/>
      <w:tcPr>
        <w:tcBorders>
          <w:left w:val="nil"/>
          <w:right w:val="nil"/>
          <w:insideH w:val="nil"/>
          <w:insideV w:val="nil"/>
        </w:tcBorders>
        <w:shd w:val="clear" w:color="auto" w:fill="E97132"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semiHidden/>
    <w:unhideWhenUsed/>
    <w:rsid w:val="00C30033"/>
    <w:pPr>
      <w:spacing w:after="0" w:line="240" w:lineRule="auto"/>
    </w:pPr>
    <w:rPr>
      <w:kern w:val="0"/>
      <w:sz w:val="22"/>
      <w:szCs w:val="22"/>
      <w:lang w:val="en-GB"/>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196B24"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196B24" w:themeFill="accent3"/>
      </w:tcPr>
    </w:tblStylePr>
    <w:tblStylePr w:type="lastCol">
      <w:rPr>
        <w:b/>
        <w:bCs/>
        <w:color w:val="FFFFFF" w:themeColor="background1"/>
      </w:rPr>
      <w:tblPr/>
      <w:tcPr>
        <w:tcBorders>
          <w:left w:val="nil"/>
          <w:right w:val="nil"/>
          <w:insideH w:val="nil"/>
          <w:insideV w:val="nil"/>
        </w:tcBorders>
        <w:shd w:val="clear" w:color="auto" w:fill="196B24"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semiHidden/>
    <w:unhideWhenUsed/>
    <w:rsid w:val="00C30033"/>
    <w:pPr>
      <w:spacing w:after="0" w:line="240" w:lineRule="auto"/>
    </w:pPr>
    <w:rPr>
      <w:kern w:val="0"/>
      <w:sz w:val="22"/>
      <w:szCs w:val="22"/>
      <w:lang w:val="en-GB"/>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F9ED5"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F9ED5" w:themeFill="accent4"/>
      </w:tcPr>
    </w:tblStylePr>
    <w:tblStylePr w:type="lastCol">
      <w:rPr>
        <w:b/>
        <w:bCs/>
        <w:color w:val="FFFFFF" w:themeColor="background1"/>
      </w:rPr>
      <w:tblPr/>
      <w:tcPr>
        <w:tcBorders>
          <w:left w:val="nil"/>
          <w:right w:val="nil"/>
          <w:insideH w:val="nil"/>
          <w:insideV w:val="nil"/>
        </w:tcBorders>
        <w:shd w:val="clear" w:color="auto" w:fill="0F9ED5"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semiHidden/>
    <w:unhideWhenUsed/>
    <w:rsid w:val="00C30033"/>
    <w:pPr>
      <w:spacing w:after="0" w:line="240" w:lineRule="auto"/>
    </w:pPr>
    <w:rPr>
      <w:kern w:val="0"/>
      <w:sz w:val="22"/>
      <w:szCs w:val="22"/>
      <w:lang w:val="en-GB"/>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02B93"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02B93" w:themeFill="accent5"/>
      </w:tcPr>
    </w:tblStylePr>
    <w:tblStylePr w:type="lastCol">
      <w:rPr>
        <w:b/>
        <w:bCs/>
        <w:color w:val="FFFFFF" w:themeColor="background1"/>
      </w:rPr>
      <w:tblPr/>
      <w:tcPr>
        <w:tcBorders>
          <w:left w:val="nil"/>
          <w:right w:val="nil"/>
          <w:insideH w:val="nil"/>
          <w:insideV w:val="nil"/>
        </w:tcBorders>
        <w:shd w:val="clear" w:color="auto" w:fill="A02B93"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semiHidden/>
    <w:unhideWhenUsed/>
    <w:rsid w:val="00C30033"/>
    <w:pPr>
      <w:spacing w:after="0" w:line="240" w:lineRule="auto"/>
    </w:pPr>
    <w:rPr>
      <w:kern w:val="0"/>
      <w:sz w:val="22"/>
      <w:szCs w:val="22"/>
      <w:lang w:val="en-GB"/>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EA72E"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EA72E" w:themeFill="accent6"/>
      </w:tcPr>
    </w:tblStylePr>
    <w:tblStylePr w:type="lastCol">
      <w:rPr>
        <w:b/>
        <w:bCs/>
        <w:color w:val="FFFFFF" w:themeColor="background1"/>
      </w:rPr>
      <w:tblPr/>
      <w:tcPr>
        <w:tcBorders>
          <w:left w:val="nil"/>
          <w:right w:val="nil"/>
          <w:insideH w:val="nil"/>
          <w:insideV w:val="nil"/>
        </w:tcBorders>
        <w:shd w:val="clear" w:color="auto" w:fill="4EA72E"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PlainTable1">
    <w:name w:val="Plain Table 1"/>
    <w:basedOn w:val="TableNormal"/>
    <w:uiPriority w:val="41"/>
    <w:rsid w:val="00C30033"/>
    <w:pPr>
      <w:spacing w:before="160" w:after="0" w:line="240" w:lineRule="auto"/>
    </w:pPr>
    <w:rPr>
      <w:kern w:val="0"/>
      <w:sz w:val="22"/>
      <w:szCs w:val="22"/>
      <w:lang w:val="en-GB"/>
      <w14:ligatures w14:val="none"/>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C30033"/>
    <w:pPr>
      <w:spacing w:before="160" w:after="0" w:line="240" w:lineRule="auto"/>
    </w:pPr>
    <w:rPr>
      <w:kern w:val="0"/>
      <w:sz w:val="22"/>
      <w:szCs w:val="22"/>
      <w:lang w:val="en-GB"/>
      <w14:ligatures w14:val="none"/>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C30033"/>
    <w:pPr>
      <w:spacing w:before="160" w:after="0" w:line="240" w:lineRule="auto"/>
    </w:pPr>
    <w:rPr>
      <w:kern w:val="0"/>
      <w:sz w:val="22"/>
      <w:szCs w:val="22"/>
      <w:lang w:val="en-GB"/>
      <w14:ligatures w14:val="none"/>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C30033"/>
    <w:pPr>
      <w:spacing w:before="160" w:after="0" w:line="240" w:lineRule="auto"/>
    </w:pPr>
    <w:rPr>
      <w:kern w:val="0"/>
      <w:sz w:val="22"/>
      <w:szCs w:val="22"/>
      <w:lang w:val="en-GB"/>
      <w14:ligatures w14:val="non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C30033"/>
    <w:pPr>
      <w:spacing w:before="160" w:after="0" w:line="240" w:lineRule="auto"/>
    </w:pPr>
    <w:rPr>
      <w:kern w:val="0"/>
      <w:sz w:val="22"/>
      <w:szCs w:val="22"/>
      <w:lang w:val="en-GB"/>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3Deffects1">
    <w:name w:val="Table 3D effects 1"/>
    <w:basedOn w:val="TableNormal"/>
    <w:uiPriority w:val="99"/>
    <w:semiHidden/>
    <w:unhideWhenUsed/>
    <w:rsid w:val="00C30033"/>
    <w:pPr>
      <w:spacing w:before="160" w:line="264" w:lineRule="auto"/>
    </w:pPr>
    <w:rPr>
      <w:kern w:val="0"/>
      <w:sz w:val="22"/>
      <w:szCs w:val="22"/>
      <w:lang w:val="en-GB"/>
      <w14:ligatures w14:val="none"/>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C30033"/>
    <w:pPr>
      <w:spacing w:before="160" w:line="264" w:lineRule="auto"/>
    </w:pPr>
    <w:rPr>
      <w:kern w:val="0"/>
      <w:sz w:val="22"/>
      <w:szCs w:val="22"/>
      <w:lang w:val="en-GB"/>
      <w14:ligatures w14:val="none"/>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C30033"/>
    <w:pPr>
      <w:spacing w:before="160" w:line="264" w:lineRule="auto"/>
    </w:pPr>
    <w:rPr>
      <w:kern w:val="0"/>
      <w:sz w:val="22"/>
      <w:szCs w:val="22"/>
      <w:lang w:val="en-GB"/>
      <w14:ligatures w14:val="none"/>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C30033"/>
    <w:pPr>
      <w:spacing w:before="160" w:line="264" w:lineRule="auto"/>
    </w:pPr>
    <w:rPr>
      <w:kern w:val="0"/>
      <w:sz w:val="22"/>
      <w:szCs w:val="22"/>
      <w:lang w:val="en-GB"/>
      <w14:ligatures w14:val="none"/>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C30033"/>
    <w:pPr>
      <w:spacing w:before="160" w:line="264" w:lineRule="auto"/>
    </w:pPr>
    <w:rPr>
      <w:kern w:val="0"/>
      <w:sz w:val="22"/>
      <w:szCs w:val="22"/>
      <w:lang w:val="en-GB"/>
      <w14:ligatures w14:val="none"/>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C30033"/>
    <w:pPr>
      <w:spacing w:before="160" w:line="264" w:lineRule="auto"/>
    </w:pPr>
    <w:rPr>
      <w:color w:val="000080"/>
      <w:kern w:val="0"/>
      <w:sz w:val="22"/>
      <w:szCs w:val="22"/>
      <w:lang w:val="en-GB"/>
      <w14:ligatures w14:val="none"/>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C30033"/>
    <w:pPr>
      <w:spacing w:before="160" w:line="264" w:lineRule="auto"/>
    </w:pPr>
    <w:rPr>
      <w:kern w:val="0"/>
      <w:sz w:val="22"/>
      <w:szCs w:val="22"/>
      <w:lang w:val="en-GB"/>
      <w14:ligatures w14:val="none"/>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C30033"/>
    <w:pPr>
      <w:spacing w:before="160" w:line="264" w:lineRule="auto"/>
    </w:pPr>
    <w:rPr>
      <w:color w:val="FFFFFF"/>
      <w:kern w:val="0"/>
      <w:sz w:val="22"/>
      <w:szCs w:val="22"/>
      <w:lang w:val="en-GB"/>
      <w14:ligatures w14:val="none"/>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C30033"/>
    <w:pPr>
      <w:spacing w:before="160" w:line="264" w:lineRule="auto"/>
    </w:pPr>
    <w:rPr>
      <w:kern w:val="0"/>
      <w:sz w:val="22"/>
      <w:szCs w:val="22"/>
      <w:lang w:val="en-GB"/>
      <w14:ligatures w14:val="none"/>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C30033"/>
    <w:pPr>
      <w:spacing w:before="160" w:line="264" w:lineRule="auto"/>
    </w:pPr>
    <w:rPr>
      <w:kern w:val="0"/>
      <w:sz w:val="22"/>
      <w:szCs w:val="22"/>
      <w:lang w:val="en-GB"/>
      <w14:ligatures w14:val="none"/>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C30033"/>
    <w:pPr>
      <w:spacing w:before="160" w:line="264" w:lineRule="auto"/>
    </w:pPr>
    <w:rPr>
      <w:b/>
      <w:bCs/>
      <w:kern w:val="0"/>
      <w:sz w:val="22"/>
      <w:szCs w:val="22"/>
      <w:lang w:val="en-GB"/>
      <w14:ligatures w14:val="none"/>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C30033"/>
    <w:pPr>
      <w:spacing w:before="160" w:line="264" w:lineRule="auto"/>
    </w:pPr>
    <w:rPr>
      <w:b/>
      <w:bCs/>
      <w:kern w:val="0"/>
      <w:sz w:val="22"/>
      <w:szCs w:val="22"/>
      <w:lang w:val="en-GB"/>
      <w14:ligatures w14:val="none"/>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C30033"/>
    <w:pPr>
      <w:spacing w:before="160" w:line="264" w:lineRule="auto"/>
    </w:pPr>
    <w:rPr>
      <w:b/>
      <w:bCs/>
      <w:kern w:val="0"/>
      <w:sz w:val="22"/>
      <w:szCs w:val="22"/>
      <w:lang w:val="en-GB"/>
      <w14:ligatures w14:val="none"/>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C30033"/>
    <w:pPr>
      <w:spacing w:before="160" w:line="264" w:lineRule="auto"/>
    </w:pPr>
    <w:rPr>
      <w:kern w:val="0"/>
      <w:sz w:val="22"/>
      <w:szCs w:val="22"/>
      <w:lang w:val="en-GB"/>
      <w14:ligatures w14:val="none"/>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C30033"/>
    <w:pPr>
      <w:spacing w:before="160" w:line="264" w:lineRule="auto"/>
    </w:pPr>
    <w:rPr>
      <w:kern w:val="0"/>
      <w:sz w:val="22"/>
      <w:szCs w:val="22"/>
      <w:lang w:val="en-GB"/>
      <w14:ligatures w14:val="none"/>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C30033"/>
    <w:pPr>
      <w:spacing w:before="160" w:line="264" w:lineRule="auto"/>
    </w:pPr>
    <w:rPr>
      <w:kern w:val="0"/>
      <w:sz w:val="22"/>
      <w:szCs w:val="22"/>
      <w:lang w:val="en-GB"/>
      <w14:ligatures w14:val="none"/>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C30033"/>
    <w:pPr>
      <w:spacing w:before="160" w:line="264" w:lineRule="auto"/>
    </w:pPr>
    <w:rPr>
      <w:kern w:val="0"/>
      <w:sz w:val="22"/>
      <w:szCs w:val="22"/>
      <w:lang w:val="en-GB"/>
      <w14:ligatures w14:val="none"/>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uiPriority w:val="99"/>
    <w:semiHidden/>
    <w:unhideWhenUsed/>
    <w:rsid w:val="00C30033"/>
    <w:pPr>
      <w:spacing w:before="160" w:line="264" w:lineRule="auto"/>
    </w:pPr>
    <w:rPr>
      <w:kern w:val="0"/>
      <w:sz w:val="22"/>
      <w:szCs w:val="22"/>
      <w:lang w:val="en-GB"/>
      <w14:ligatures w14:val="none"/>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C30033"/>
    <w:pPr>
      <w:spacing w:before="160" w:line="264" w:lineRule="auto"/>
    </w:pPr>
    <w:rPr>
      <w:kern w:val="0"/>
      <w:sz w:val="22"/>
      <w:szCs w:val="22"/>
      <w:lang w:val="en-GB"/>
      <w14:ligatures w14:val="none"/>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C30033"/>
    <w:pPr>
      <w:spacing w:before="160" w:line="264" w:lineRule="auto"/>
    </w:pPr>
    <w:rPr>
      <w:kern w:val="0"/>
      <w:sz w:val="22"/>
      <w:szCs w:val="22"/>
      <w:lang w:val="en-GB"/>
      <w14:ligatures w14:val="none"/>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C30033"/>
    <w:pPr>
      <w:spacing w:before="160" w:line="264" w:lineRule="auto"/>
    </w:pPr>
    <w:rPr>
      <w:kern w:val="0"/>
      <w:sz w:val="22"/>
      <w:szCs w:val="22"/>
      <w:lang w:val="en-GB"/>
      <w14:ligatures w14:val="none"/>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C30033"/>
    <w:pPr>
      <w:spacing w:before="160" w:line="264" w:lineRule="auto"/>
    </w:pPr>
    <w:rPr>
      <w:kern w:val="0"/>
      <w:sz w:val="22"/>
      <w:szCs w:val="22"/>
      <w:lang w:val="en-GB"/>
      <w14:ligatures w14:val="none"/>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C30033"/>
    <w:pPr>
      <w:spacing w:before="160" w:line="264" w:lineRule="auto"/>
    </w:pPr>
    <w:rPr>
      <w:kern w:val="0"/>
      <w:sz w:val="22"/>
      <w:szCs w:val="22"/>
      <w:lang w:val="en-GB"/>
      <w14:ligatures w14:val="none"/>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C30033"/>
    <w:pPr>
      <w:spacing w:before="160" w:line="264" w:lineRule="auto"/>
    </w:pPr>
    <w:rPr>
      <w:b/>
      <w:bCs/>
      <w:kern w:val="0"/>
      <w:sz w:val="22"/>
      <w:szCs w:val="22"/>
      <w:lang w:val="en-GB"/>
      <w14:ligatures w14:val="none"/>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C30033"/>
    <w:pPr>
      <w:spacing w:before="160" w:line="264" w:lineRule="auto"/>
    </w:pPr>
    <w:rPr>
      <w:kern w:val="0"/>
      <w:sz w:val="22"/>
      <w:szCs w:val="22"/>
      <w:lang w:val="en-GB"/>
      <w14:ligatures w14:val="none"/>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GridLight">
    <w:name w:val="Grid Table Light"/>
    <w:basedOn w:val="TableNormal"/>
    <w:uiPriority w:val="40"/>
    <w:rsid w:val="00C30033"/>
    <w:pPr>
      <w:spacing w:before="160" w:after="0" w:line="240" w:lineRule="auto"/>
    </w:pPr>
    <w:rPr>
      <w:kern w:val="0"/>
      <w:sz w:val="22"/>
      <w:szCs w:val="22"/>
      <w:lang w:val="en-GB"/>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List1">
    <w:name w:val="Table List 1"/>
    <w:basedOn w:val="TableNormal"/>
    <w:uiPriority w:val="99"/>
    <w:semiHidden/>
    <w:unhideWhenUsed/>
    <w:rsid w:val="00C30033"/>
    <w:pPr>
      <w:spacing w:before="160" w:line="264" w:lineRule="auto"/>
    </w:pPr>
    <w:rPr>
      <w:kern w:val="0"/>
      <w:sz w:val="22"/>
      <w:szCs w:val="22"/>
      <w:lang w:val="en-GB"/>
      <w14:ligatures w14:val="none"/>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C30033"/>
    <w:pPr>
      <w:spacing w:before="160" w:line="264" w:lineRule="auto"/>
    </w:pPr>
    <w:rPr>
      <w:kern w:val="0"/>
      <w:sz w:val="22"/>
      <w:szCs w:val="22"/>
      <w:lang w:val="en-GB"/>
      <w14:ligatures w14:val="none"/>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C30033"/>
    <w:pPr>
      <w:spacing w:before="160" w:line="264" w:lineRule="auto"/>
    </w:pPr>
    <w:rPr>
      <w:kern w:val="0"/>
      <w:sz w:val="22"/>
      <w:szCs w:val="22"/>
      <w:lang w:val="en-GB"/>
      <w14:ligatures w14:val="none"/>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C30033"/>
    <w:pPr>
      <w:spacing w:before="160" w:line="264" w:lineRule="auto"/>
    </w:pPr>
    <w:rPr>
      <w:kern w:val="0"/>
      <w:sz w:val="22"/>
      <w:szCs w:val="22"/>
      <w:lang w:val="en-GB"/>
      <w14:ligatures w14:val="none"/>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C30033"/>
    <w:pPr>
      <w:spacing w:before="160" w:line="264" w:lineRule="auto"/>
    </w:pPr>
    <w:rPr>
      <w:kern w:val="0"/>
      <w:sz w:val="22"/>
      <w:szCs w:val="22"/>
      <w:lang w:val="en-GB"/>
      <w14:ligatures w14:val="none"/>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C30033"/>
    <w:pPr>
      <w:spacing w:before="160" w:line="264" w:lineRule="auto"/>
    </w:pPr>
    <w:rPr>
      <w:kern w:val="0"/>
      <w:sz w:val="22"/>
      <w:szCs w:val="22"/>
      <w:lang w:val="en-GB"/>
      <w14:ligatures w14:val="none"/>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C30033"/>
    <w:pPr>
      <w:spacing w:before="160" w:line="264" w:lineRule="auto"/>
    </w:pPr>
    <w:rPr>
      <w:kern w:val="0"/>
      <w:sz w:val="22"/>
      <w:szCs w:val="22"/>
      <w:lang w:val="en-GB"/>
      <w14:ligatures w14:val="none"/>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C30033"/>
    <w:pPr>
      <w:spacing w:before="160" w:line="264" w:lineRule="auto"/>
    </w:pPr>
    <w:rPr>
      <w:kern w:val="0"/>
      <w:sz w:val="22"/>
      <w:szCs w:val="22"/>
      <w:lang w:val="en-GB"/>
      <w14:ligatures w14:val="none"/>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uiPriority w:val="99"/>
    <w:semiHidden/>
    <w:unhideWhenUsed/>
    <w:rsid w:val="00C30033"/>
    <w:pPr>
      <w:spacing w:before="160" w:line="264" w:lineRule="auto"/>
    </w:pPr>
    <w:rPr>
      <w:kern w:val="0"/>
      <w:sz w:val="22"/>
      <w:szCs w:val="22"/>
      <w:lang w:val="en-GB"/>
      <w14:ligatures w14:val="none"/>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C30033"/>
    <w:pPr>
      <w:spacing w:before="160" w:line="264" w:lineRule="auto"/>
    </w:pPr>
    <w:rPr>
      <w:kern w:val="0"/>
      <w:sz w:val="22"/>
      <w:szCs w:val="22"/>
      <w:lang w:val="en-GB"/>
      <w14:ligatures w14:val="none"/>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C30033"/>
    <w:pPr>
      <w:spacing w:before="160" w:line="264" w:lineRule="auto"/>
    </w:pPr>
    <w:rPr>
      <w:kern w:val="0"/>
      <w:sz w:val="22"/>
      <w:szCs w:val="22"/>
      <w:lang w:val="en-GB"/>
      <w14:ligatures w14:val="none"/>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C30033"/>
    <w:pPr>
      <w:spacing w:before="160" w:line="264" w:lineRule="auto"/>
    </w:pPr>
    <w:rPr>
      <w:kern w:val="0"/>
      <w:sz w:val="22"/>
      <w:szCs w:val="22"/>
      <w:lang w:val="en-GB"/>
      <w14:ligatures w14:val="none"/>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C30033"/>
    <w:pPr>
      <w:spacing w:before="160" w:line="264" w:lineRule="auto"/>
    </w:pPr>
    <w:rPr>
      <w:kern w:val="0"/>
      <w:sz w:val="22"/>
      <w:szCs w:val="22"/>
      <w:lang w:val="en-GB"/>
      <w14:ligatures w14:val="none"/>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C30033"/>
    <w:pPr>
      <w:spacing w:before="160" w:line="264" w:lineRule="auto"/>
    </w:pPr>
    <w:rPr>
      <w:kern w:val="0"/>
      <w:sz w:val="22"/>
      <w:szCs w:val="22"/>
      <w:lang w:val="en-GB"/>
      <w14:ligatures w14:val="none"/>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C30033"/>
    <w:pPr>
      <w:spacing w:before="160" w:line="264" w:lineRule="auto"/>
    </w:pPr>
    <w:rPr>
      <w:kern w:val="0"/>
      <w:sz w:val="22"/>
      <w:szCs w:val="22"/>
      <w:lang w:val="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rsid w:val="00C30033"/>
    <w:pPr>
      <w:spacing w:before="160" w:line="264" w:lineRule="auto"/>
    </w:pPr>
    <w:rPr>
      <w:kern w:val="0"/>
      <w:sz w:val="22"/>
      <w:szCs w:val="22"/>
      <w:lang w:val="en-GB"/>
      <w14:ligatures w14:val="none"/>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C30033"/>
    <w:pPr>
      <w:spacing w:before="160" w:line="264" w:lineRule="auto"/>
    </w:pPr>
    <w:rPr>
      <w:kern w:val="0"/>
      <w:sz w:val="22"/>
      <w:szCs w:val="22"/>
      <w:lang w:val="en-GB"/>
      <w14:ligatures w14:val="none"/>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C30033"/>
    <w:pPr>
      <w:spacing w:before="160" w:line="264" w:lineRule="auto"/>
    </w:pPr>
    <w:rPr>
      <w:kern w:val="0"/>
      <w:sz w:val="22"/>
      <w:szCs w:val="22"/>
      <w:lang w:val="en-GB"/>
      <w14:ligatures w14:val="none"/>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customStyle="1" w:styleId="JRCTexthighlight">
    <w:name w:val="JRC_Text_highlight"/>
    <w:uiPriority w:val="1"/>
    <w:qFormat/>
    <w:rsid w:val="00C30033"/>
    <w:rPr>
      <w:noProof w:val="0"/>
      <w:color w:val="A02B93" w:themeColor="accent5"/>
      <w:spacing w:val="4"/>
      <w:lang w:val="en-GB"/>
    </w:rPr>
  </w:style>
  <w:style w:type="paragraph" w:customStyle="1" w:styleId="JRCBoxtext">
    <w:name w:val="JRC_Box_text"/>
    <w:basedOn w:val="Normal"/>
    <w:qFormat/>
    <w:rsid w:val="00C30033"/>
    <w:pPr>
      <w:pBdr>
        <w:top w:val="single" w:sz="4" w:space="4" w:color="595959" w:themeColor="text1" w:themeTint="A6"/>
        <w:left w:val="single" w:sz="4" w:space="4" w:color="595959" w:themeColor="text1" w:themeTint="A6"/>
        <w:bottom w:val="single" w:sz="4" w:space="4" w:color="595959" w:themeColor="text1" w:themeTint="A6"/>
        <w:right w:val="single" w:sz="4" w:space="4" w:color="595959" w:themeColor="text1" w:themeTint="A6"/>
      </w:pBdr>
      <w:shd w:val="clear" w:color="auto" w:fill="F2F2F2" w:themeFill="background1" w:themeFillShade="F2"/>
      <w:ind w:left="108" w:right="108"/>
    </w:pPr>
    <w:rPr>
      <w:rFonts w:ascii="EC Square Sans Pro" w:eastAsia="Times New Roman" w:hAnsi="EC Square Sans Pro" w:cs="Times New Roman"/>
      <w:sz w:val="20"/>
      <w:lang w:eastAsia="en-GB"/>
    </w:rPr>
  </w:style>
  <w:style w:type="paragraph" w:customStyle="1" w:styleId="InstructionsRed00">
    <w:name w:val="Instructions Red 00"/>
    <w:basedOn w:val="Normal"/>
    <w:qFormat/>
    <w:rsid w:val="00C30033"/>
    <w:pPr>
      <w:spacing w:before="100" w:after="100" w:line="240" w:lineRule="exact"/>
      <w:jc w:val="both"/>
    </w:pPr>
    <w:rPr>
      <w:rFonts w:ascii="EC Square Sans Pro Light" w:eastAsia="Times New Roman" w:hAnsi="EC Square Sans Pro Light" w:cs="Times New Roman"/>
      <w:color w:val="B50009"/>
      <w:spacing w:val="4"/>
      <w:sz w:val="18"/>
      <w:szCs w:val="18"/>
    </w:rPr>
  </w:style>
  <w:style w:type="character" w:customStyle="1" w:styleId="InstructionsRed00char">
    <w:name w:val="Instructions Red 00 char"/>
    <w:uiPriority w:val="1"/>
    <w:qFormat/>
    <w:rsid w:val="00C30033"/>
    <w:rPr>
      <w:rFonts w:asciiTheme="minorHAnsi" w:hAnsiTheme="minorHAnsi"/>
      <w:noProof w:val="0"/>
      <w:color w:val="B50009"/>
      <w:lang w:val="en-GB"/>
    </w:rPr>
  </w:style>
  <w:style w:type="paragraph" w:customStyle="1" w:styleId="JRCLevel-3titleNoNumber">
    <w:name w:val="JRC_Level-3_title_(NoNumber)"/>
    <w:basedOn w:val="JRCLevel-3title"/>
    <w:next w:val="JRCText"/>
    <w:semiHidden/>
    <w:qFormat/>
    <w:rsid w:val="00C30033"/>
    <w:pPr>
      <w:numPr>
        <w:ilvl w:val="0"/>
        <w:numId w:val="0"/>
      </w:numPr>
      <w:spacing w:before="360" w:after="160"/>
    </w:pPr>
    <w:rPr>
      <w:rFonts w:asciiTheme="majorHAnsi" w:eastAsia="Times New Roman" w:hAnsiTheme="majorHAnsi" w:cs="Times New Roman"/>
      <w:bCs/>
      <w:color w:val="A02B93" w:themeColor="accent5"/>
      <w:sz w:val="26"/>
      <w:szCs w:val="24"/>
    </w:rPr>
  </w:style>
  <w:style w:type="paragraph" w:customStyle="1" w:styleId="JRCLevel-4titleNoNumber">
    <w:name w:val="JRC_Level-4_title_(NoNumber)"/>
    <w:basedOn w:val="JRCLevel-4title"/>
    <w:next w:val="JRCText"/>
    <w:semiHidden/>
    <w:qFormat/>
    <w:rsid w:val="00C30033"/>
    <w:pPr>
      <w:numPr>
        <w:ilvl w:val="0"/>
        <w:numId w:val="0"/>
      </w:numPr>
      <w:spacing w:before="360" w:after="160"/>
    </w:pPr>
    <w:rPr>
      <w:rFonts w:ascii="EC Square Sans Pro Medium" w:eastAsia="Times New Roman" w:hAnsi="EC Square Sans Pro Medium" w:cs="Times New Roman"/>
      <w:bCs/>
      <w:i w:val="0"/>
      <w:color w:val="auto"/>
      <w:spacing w:val="10"/>
      <w:szCs w:val="24"/>
      <w:lang w:eastAsia="en-GB"/>
    </w:rPr>
  </w:style>
  <w:style w:type="paragraph" w:customStyle="1" w:styleId="JRCTableBoxtitle">
    <w:name w:val="JRC_Table_Box_title"/>
    <w:basedOn w:val="Normal"/>
    <w:qFormat/>
    <w:rsid w:val="00C30033"/>
    <w:pPr>
      <w:jc w:val="center"/>
    </w:pPr>
    <w:rPr>
      <w:rFonts w:ascii="EC Square Sans Pro Medium" w:hAnsi="EC Square Sans Pro Medium"/>
      <w:b/>
      <w:caps/>
      <w:color w:val="000000" w:themeColor="text1"/>
      <w:sz w:val="20"/>
    </w:rPr>
  </w:style>
  <w:style w:type="character" w:customStyle="1" w:styleId="MediumSansCondPro">
    <w:name w:val="Medium (Sans Cond Pro)"/>
    <w:uiPriority w:val="1"/>
    <w:qFormat/>
    <w:rsid w:val="00C30033"/>
    <w:rPr>
      <w:rFonts w:ascii="EC Square Sans Cond Pro Medium" w:hAnsi="EC Square Sans Cond Pro Medium"/>
      <w:noProof w:val="0"/>
      <w:lang w:val="en-GB"/>
    </w:rPr>
  </w:style>
  <w:style w:type="character" w:customStyle="1" w:styleId="MediumSansPro">
    <w:name w:val="Medium (Sans Pro)"/>
    <w:uiPriority w:val="1"/>
    <w:qFormat/>
    <w:rsid w:val="00C30033"/>
    <w:rPr>
      <w:rFonts w:ascii="EC Square Sans Pro Medium" w:hAnsi="EC Square Sans Pro Medium"/>
      <w:noProof w:val="0"/>
      <w:lang w:val="en-GB"/>
    </w:rPr>
  </w:style>
  <w:style w:type="paragraph" w:customStyle="1" w:styleId="JRCLevel-1titleNoNumber">
    <w:name w:val="JRC_Level-1_title_(NoNumber)"/>
    <w:basedOn w:val="JRCLevel-1title"/>
    <w:next w:val="JRCText"/>
    <w:semiHidden/>
    <w:qFormat/>
    <w:rsid w:val="00C30033"/>
    <w:pPr>
      <w:pageBreakBefore/>
      <w:numPr>
        <w:numId w:val="0"/>
      </w:numPr>
      <w:spacing w:before="0" w:after="160"/>
    </w:pPr>
    <w:rPr>
      <w:rFonts w:eastAsia="Calibri" w:cs="Times New Roman"/>
      <w:b/>
      <w:color w:val="009AA8"/>
      <w:sz w:val="36"/>
      <w:szCs w:val="24"/>
    </w:rPr>
  </w:style>
  <w:style w:type="paragraph" w:customStyle="1" w:styleId="JRCLevel-2titleNoNumber">
    <w:name w:val="JRC_Level-2_title_(NoNumber)"/>
    <w:basedOn w:val="JRCLevel-2title"/>
    <w:next w:val="JRCText"/>
    <w:semiHidden/>
    <w:qFormat/>
    <w:rsid w:val="00C30033"/>
    <w:pPr>
      <w:numPr>
        <w:ilvl w:val="0"/>
        <w:numId w:val="0"/>
      </w:numPr>
      <w:spacing w:before="360" w:after="160"/>
    </w:pPr>
    <w:rPr>
      <w:rFonts w:eastAsia="Times New Roman" w:cs="Times New Roman"/>
      <w:b/>
      <w:bCs/>
      <w:iCs/>
      <w:color w:val="007B87"/>
      <w:sz w:val="26"/>
      <w:szCs w:val="26"/>
    </w:rPr>
  </w:style>
  <w:style w:type="paragraph" w:customStyle="1" w:styleId="JRCLevel-5titleNoNumber">
    <w:name w:val="JRC_Level-5_title_(NoNumber)"/>
    <w:basedOn w:val="JRCLevel-5title"/>
    <w:next w:val="JRCText"/>
    <w:semiHidden/>
    <w:qFormat/>
    <w:rsid w:val="00C30033"/>
    <w:pPr>
      <w:numPr>
        <w:ilvl w:val="0"/>
        <w:numId w:val="0"/>
      </w:numPr>
      <w:spacing w:before="240" w:after="160"/>
    </w:pPr>
    <w:rPr>
      <w:rFonts w:asciiTheme="majorHAnsi" w:eastAsia="Times New Roman" w:hAnsiTheme="majorHAnsi" w:cs="Times New Roman"/>
      <w:color w:val="auto"/>
      <w:szCs w:val="24"/>
      <w:lang w:eastAsia="en-GB"/>
    </w:rPr>
  </w:style>
  <w:style w:type="paragraph" w:customStyle="1" w:styleId="JRCCoverTitle">
    <w:name w:val="JRC_Cover_Title"/>
    <w:basedOn w:val="Normal"/>
    <w:next w:val="JRCCoverSubtitle"/>
    <w:qFormat/>
    <w:rsid w:val="00C30033"/>
    <w:pPr>
      <w:spacing w:before="2940" w:after="600" w:line="640" w:lineRule="exact"/>
      <w:ind w:left="-567"/>
    </w:pPr>
    <w:rPr>
      <w:rFonts w:ascii="EC Square Sans Pro Light" w:eastAsia="Calibri" w:hAnsi="EC Square Sans Pro Light" w:cs="Times New Roman"/>
      <w:color w:val="A02B93" w:themeColor="accent5"/>
      <w:sz w:val="56"/>
      <w:szCs w:val="56"/>
      <w:lang w:eastAsia="en-GB"/>
    </w:rPr>
  </w:style>
  <w:style w:type="paragraph" w:customStyle="1" w:styleId="JRCCovercopyrightslist1">
    <w:name w:val="JRC_Cover_copyrights list1"/>
    <w:basedOn w:val="JRCCovertextNospacing"/>
    <w:qFormat/>
    <w:rsid w:val="00C30033"/>
    <w:pPr>
      <w:ind w:left="170" w:hanging="170"/>
    </w:pPr>
  </w:style>
  <w:style w:type="paragraph" w:customStyle="1" w:styleId="JRCCoverPublicationCategory">
    <w:name w:val="JRC_Cover_Publication_Category"/>
    <w:basedOn w:val="Normal"/>
    <w:qFormat/>
    <w:rsid w:val="00C30033"/>
    <w:pPr>
      <w:keepLines/>
      <w:spacing w:before="0" w:after="0" w:line="240" w:lineRule="auto"/>
      <w:jc w:val="center"/>
    </w:pPr>
    <w:rPr>
      <w:rFonts w:ascii="EC Square Sans Pro Light" w:eastAsia="Times New Roman" w:hAnsi="EC Square Sans Pro Light" w:cs="Times New Roman"/>
      <w:color w:val="A02B93" w:themeColor="accent5"/>
      <w:spacing w:val="4"/>
      <w:sz w:val="29"/>
      <w:szCs w:val="29"/>
      <w:lang w:eastAsia="en-GB"/>
    </w:rPr>
  </w:style>
  <w:style w:type="paragraph" w:customStyle="1" w:styleId="JRCCoverSubtitle">
    <w:name w:val="JRC_Cover_Subtitle"/>
    <w:basedOn w:val="Normal"/>
    <w:next w:val="JRCCoverAuthor"/>
    <w:qFormat/>
    <w:rsid w:val="00C30033"/>
    <w:pPr>
      <w:spacing w:before="120" w:after="600" w:line="400" w:lineRule="exact"/>
      <w:ind w:left="-567"/>
    </w:pPr>
    <w:rPr>
      <w:rFonts w:ascii="EC Square Sans Pro" w:eastAsia="Calibri" w:hAnsi="EC Square Sans Pro" w:cs="Times New Roman"/>
      <w:i/>
      <w:color w:val="A02B93" w:themeColor="accent5"/>
      <w:sz w:val="32"/>
      <w:szCs w:val="32"/>
    </w:rPr>
  </w:style>
  <w:style w:type="paragraph" w:customStyle="1" w:styleId="JRCCoverAuthor">
    <w:name w:val="JRC_Cover_Author"/>
    <w:basedOn w:val="Normal"/>
    <w:qFormat/>
    <w:rsid w:val="00C30033"/>
    <w:pPr>
      <w:spacing w:before="120" w:after="120" w:line="240" w:lineRule="auto"/>
      <w:ind w:left="5205"/>
    </w:pPr>
    <w:rPr>
      <w:rFonts w:ascii="EC Square Sans Pro" w:eastAsia="Times New Roman" w:hAnsi="EC Square Sans Pro" w:cs="Times New Roman"/>
      <w:color w:val="595959" w:themeColor="text1" w:themeTint="A6"/>
      <w:sz w:val="20"/>
      <w:lang w:eastAsia="en-GB"/>
    </w:rPr>
  </w:style>
  <w:style w:type="paragraph" w:customStyle="1" w:styleId="JRCCoverclass">
    <w:name w:val="JRC_Cover_class"/>
    <w:basedOn w:val="Normal"/>
    <w:rsid w:val="00C30033"/>
    <w:pPr>
      <w:suppressAutoHyphens w:val="0"/>
      <w:spacing w:before="0" w:after="120" w:line="240" w:lineRule="auto"/>
    </w:pPr>
    <w:rPr>
      <w:rFonts w:ascii="EC Square Sans Pro" w:eastAsia="Times New Roman" w:hAnsi="EC Square Sans Pro" w:cs="Times New Roman"/>
      <w:b/>
      <w:color w:val="595959" w:themeColor="text1" w:themeTint="A6"/>
      <w:sz w:val="20"/>
      <w:lang w:eastAsia="en-GB"/>
    </w:rPr>
  </w:style>
  <w:style w:type="paragraph" w:customStyle="1" w:styleId="JRCCoveryear">
    <w:name w:val="JRC_Cover_year"/>
    <w:basedOn w:val="Normal"/>
    <w:rsid w:val="00C30033"/>
    <w:pPr>
      <w:spacing w:before="0" w:after="0" w:line="240" w:lineRule="auto"/>
    </w:pPr>
    <w:rPr>
      <w:rFonts w:ascii="EC Square Sans Pro" w:eastAsia="Times New Roman" w:hAnsi="EC Square Sans Pro" w:cs="Times New Roman"/>
      <w:color w:val="595959" w:themeColor="text1" w:themeTint="A6"/>
      <w:sz w:val="20"/>
      <w:lang w:eastAsia="en-GB"/>
    </w:rPr>
  </w:style>
  <w:style w:type="paragraph" w:customStyle="1" w:styleId="JRCCoverEURISSN">
    <w:name w:val="JRC_Cover_EUR_ISSN"/>
    <w:qFormat/>
    <w:rsid w:val="00C30033"/>
    <w:pPr>
      <w:spacing w:after="0" w:line="240" w:lineRule="auto"/>
      <w:jc w:val="right"/>
    </w:pPr>
    <w:rPr>
      <w:rFonts w:eastAsia="Times New Roman" w:cs="Times New Roman"/>
      <w:kern w:val="0"/>
      <w:sz w:val="18"/>
      <w:szCs w:val="22"/>
      <w:lang w:val="en-GB" w:eastAsia="en-GB"/>
      <w14:ligatures w14:val="none"/>
    </w:rPr>
  </w:style>
  <w:style w:type="paragraph" w:customStyle="1" w:styleId="JRCCoverEURNumber">
    <w:name w:val="JRC_Cover_EUR_Number"/>
    <w:qFormat/>
    <w:rsid w:val="00C30033"/>
    <w:pPr>
      <w:spacing w:after="0" w:line="240" w:lineRule="auto"/>
      <w:jc w:val="right"/>
    </w:pPr>
    <w:rPr>
      <w:rFonts w:ascii="EC Square Sans Pro" w:eastAsia="Times New Roman" w:hAnsi="EC Square Sans Pro" w:cs="Times New Roman"/>
      <w:color w:val="FFFFFF" w:themeColor="background1"/>
      <w:kern w:val="0"/>
      <w:sz w:val="18"/>
      <w:szCs w:val="22"/>
      <w:lang w:val="en-GB" w:eastAsia="en-GB"/>
      <w14:ligatures w14:val="none"/>
    </w:rPr>
  </w:style>
  <w:style w:type="paragraph" w:customStyle="1" w:styleId="JRCCovertext">
    <w:name w:val="JRC_Cover_text"/>
    <w:basedOn w:val="Normal"/>
    <w:qFormat/>
    <w:rsid w:val="00C30033"/>
    <w:pPr>
      <w:widowControl w:val="0"/>
      <w:spacing w:before="240" w:after="240"/>
    </w:pPr>
    <w:rPr>
      <w:rFonts w:ascii="EC Square Sans Pro" w:eastAsia="Times New Roman" w:hAnsi="EC Square Sans Pro" w:cs="Times New Roman"/>
      <w:sz w:val="18"/>
      <w:szCs w:val="14"/>
      <w:lang w:eastAsia="en-GB"/>
    </w:rPr>
  </w:style>
  <w:style w:type="paragraph" w:customStyle="1" w:styleId="JRCCovertextNospacing">
    <w:name w:val="JRC_Cover_text (No spacing)"/>
    <w:basedOn w:val="JRCCovertext"/>
    <w:qFormat/>
    <w:rsid w:val="00C30033"/>
    <w:pPr>
      <w:spacing w:before="0" w:after="0"/>
    </w:pPr>
  </w:style>
  <w:style w:type="paragraph" w:customStyle="1" w:styleId="JRCCovertextNospacingafter">
    <w:name w:val="JRC_Cover_text (No spacing after)"/>
    <w:basedOn w:val="JRCCovertext"/>
    <w:next w:val="JRCCovertextNospacing"/>
    <w:qFormat/>
    <w:rsid w:val="00C30033"/>
    <w:pPr>
      <w:spacing w:after="0"/>
    </w:pPr>
    <w:rPr>
      <w:bCs/>
    </w:rPr>
  </w:style>
  <w:style w:type="paragraph" w:customStyle="1" w:styleId="JRCCovertextidentifiers">
    <w:name w:val="JRC_Cover_text_identifiers"/>
    <w:basedOn w:val="JRCCovertext"/>
    <w:qFormat/>
    <w:rsid w:val="00C30033"/>
    <w:pPr>
      <w:tabs>
        <w:tab w:val="left" w:pos="709"/>
        <w:tab w:val="left" w:pos="2977"/>
        <w:tab w:val="left" w:pos="4536"/>
        <w:tab w:val="left" w:pos="6379"/>
      </w:tabs>
      <w:contextualSpacing/>
    </w:pPr>
    <w:rPr>
      <w:bCs/>
    </w:rPr>
  </w:style>
  <w:style w:type="paragraph" w:customStyle="1" w:styleId="JRCBackCoverISBN">
    <w:name w:val="JRC_Back_Cover_ISBN"/>
    <w:qFormat/>
    <w:rsid w:val="00C30033"/>
    <w:pPr>
      <w:widowControl w:val="0"/>
      <w:suppressAutoHyphens/>
      <w:spacing w:after="0" w:line="240" w:lineRule="auto"/>
      <w:jc w:val="right"/>
    </w:pPr>
    <w:rPr>
      <w:rFonts w:eastAsia="EC Square Sans Pro" w:cs="Times New Roman"/>
      <w:kern w:val="0"/>
      <w:sz w:val="16"/>
      <w:szCs w:val="22"/>
      <w:lang w:val="en-GB"/>
      <w14:ligatures w14:val="none"/>
    </w:rPr>
  </w:style>
  <w:style w:type="paragraph" w:customStyle="1" w:styleId="JRCBackCoverCatalogueNumber">
    <w:name w:val="JRC_Back_Cover_Catalogue_Number"/>
    <w:qFormat/>
    <w:rsid w:val="00C30033"/>
    <w:pPr>
      <w:widowControl w:val="0"/>
      <w:spacing w:after="0" w:line="240" w:lineRule="auto"/>
      <w:ind w:left="57"/>
      <w:jc w:val="center"/>
    </w:pPr>
    <w:rPr>
      <w:rFonts w:eastAsia="EC Square Sans Pro" w:cs="Times New Roman"/>
      <w:color w:val="FFFFFF" w:themeColor="background1"/>
      <w:kern w:val="0"/>
      <w:sz w:val="16"/>
      <w:szCs w:val="16"/>
      <w:lang w:val="en-GB"/>
      <w14:ligatures w14:val="none"/>
    </w:rPr>
  </w:style>
  <w:style w:type="paragraph" w:customStyle="1" w:styleId="AboutEUList">
    <w:name w:val="AboutEU List"/>
    <w:basedOn w:val="AboutEUText"/>
    <w:uiPriority w:val="99"/>
    <w:rsid w:val="00C30033"/>
    <w:pPr>
      <w:spacing w:after="0"/>
      <w:ind w:left="924" w:hanging="357"/>
    </w:pPr>
  </w:style>
  <w:style w:type="paragraph" w:customStyle="1" w:styleId="AboutEUSubtitle">
    <w:name w:val="AboutEU Subtitle"/>
    <w:basedOn w:val="AboutEUText"/>
    <w:uiPriority w:val="99"/>
    <w:rsid w:val="00C30033"/>
    <w:pPr>
      <w:spacing w:before="120"/>
    </w:pPr>
    <w:rPr>
      <w:b/>
    </w:rPr>
  </w:style>
  <w:style w:type="paragraph" w:customStyle="1" w:styleId="AboutEUText">
    <w:name w:val="AboutEU Text"/>
    <w:uiPriority w:val="99"/>
    <w:rsid w:val="00C30033"/>
    <w:pPr>
      <w:pBdr>
        <w:top w:val="single" w:sz="2" w:space="24" w:color="DBEEF4"/>
        <w:left w:val="single" w:sz="2" w:space="24" w:color="DBEEF4"/>
        <w:bottom w:val="single" w:sz="2" w:space="24" w:color="DBEEF4"/>
        <w:right w:val="single" w:sz="2" w:space="24" w:color="DBEEF4"/>
      </w:pBdr>
      <w:shd w:val="clear" w:color="auto" w:fill="DBEEF4"/>
      <w:spacing w:after="120" w:line="240" w:lineRule="auto"/>
      <w:ind w:left="567" w:right="567"/>
    </w:pPr>
    <w:rPr>
      <w:rFonts w:eastAsia="Times New Roman" w:cs="Times New Roman"/>
      <w:kern w:val="0"/>
      <w:sz w:val="20"/>
      <w:szCs w:val="20"/>
      <w:lang w:val="en-GB" w:eastAsia="en-GB"/>
      <w14:ligatures w14:val="none"/>
    </w:rPr>
  </w:style>
  <w:style w:type="paragraph" w:customStyle="1" w:styleId="AboutEUTitle">
    <w:name w:val="AboutEU Title"/>
    <w:basedOn w:val="AboutEUText"/>
    <w:uiPriority w:val="99"/>
    <w:rsid w:val="00C30033"/>
    <w:pPr>
      <w:spacing w:before="480" w:after="240"/>
      <w:outlineLvl w:val="0"/>
    </w:pPr>
    <w:rPr>
      <w:rFonts w:asciiTheme="majorHAnsi" w:hAnsiTheme="majorHAnsi"/>
      <w:b/>
      <w:sz w:val="24"/>
    </w:rPr>
  </w:style>
  <w:style w:type="character" w:customStyle="1" w:styleId="JRCBackCovertextIcon">
    <w:name w:val="JRC_Back_Cover_text (Icon)"/>
    <w:uiPriority w:val="1"/>
    <w:qFormat/>
    <w:rsid w:val="00C30033"/>
    <w:rPr>
      <w:noProof w:val="0"/>
      <w:position w:val="-8"/>
      <w:lang w:val="en-GB"/>
    </w:rPr>
  </w:style>
  <w:style w:type="paragraph" w:customStyle="1" w:styleId="JRCBackCoverdescription">
    <w:name w:val="JRC_Back_Cover_description"/>
    <w:basedOn w:val="JRCBackCovertext"/>
    <w:qFormat/>
    <w:rsid w:val="00C30033"/>
    <w:pPr>
      <w:ind w:left="0" w:firstLine="0"/>
    </w:pPr>
    <w:rPr>
      <w:rFonts w:ascii="EC Square Sans Pro Light" w:hAnsi="EC Square Sans Pro Light"/>
      <w:sz w:val="28"/>
    </w:rPr>
  </w:style>
  <w:style w:type="paragraph" w:customStyle="1" w:styleId="JRCBackCovertagline">
    <w:name w:val="JRC_Back_Cover_tagline"/>
    <w:qFormat/>
    <w:rsid w:val="00C30033"/>
    <w:pPr>
      <w:framePr w:wrap="around" w:vAnchor="text" w:hAnchor="text" w:y="6461"/>
      <w:spacing w:after="0" w:line="240" w:lineRule="auto"/>
    </w:pPr>
    <w:rPr>
      <w:rFonts w:ascii="EC Square Sans Pro Light" w:eastAsia="Times New Roman" w:hAnsi="EC Square Sans Pro Light" w:cs="Times New Roman"/>
      <w:kern w:val="0"/>
      <w:sz w:val="60"/>
      <w:szCs w:val="60"/>
      <w:lang w:val="en-GB" w:eastAsia="en-GB"/>
      <w14:textFill>
        <w14:gradFill>
          <w14:gsLst>
            <w14:gs w14:pos="0">
              <w14:srgbClr w14:val="6873B5"/>
            </w14:gs>
            <w14:gs w14:pos="100000">
              <w14:srgbClr w14:val="77C8D2"/>
            </w14:gs>
          </w14:gsLst>
          <w14:lin w14:ang="0" w14:scaled="0"/>
        </w14:gradFill>
      </w14:textFill>
      <w14:ligatures w14:val="none"/>
    </w:rPr>
  </w:style>
  <w:style w:type="paragraph" w:customStyle="1" w:styleId="JRCBackCoverwebsite">
    <w:name w:val="JRC_Back_Cover_website"/>
    <w:basedOn w:val="JRCBackCovertext"/>
    <w:next w:val="JRCBackCovertext"/>
    <w:qFormat/>
    <w:rsid w:val="00C30033"/>
    <w:pPr>
      <w:spacing w:before="960" w:after="320"/>
      <w:ind w:left="1378"/>
      <w:contextualSpacing/>
    </w:pPr>
  </w:style>
  <w:style w:type="paragraph" w:customStyle="1" w:styleId="JRCBackCoverlist1">
    <w:name w:val="JRC_Back_Cover_list1"/>
    <w:basedOn w:val="JRCBackCovertext"/>
    <w:qFormat/>
    <w:rsid w:val="00C30033"/>
    <w:pPr>
      <w:numPr>
        <w:numId w:val="24"/>
      </w:numPr>
    </w:pPr>
  </w:style>
  <w:style w:type="paragraph" w:customStyle="1" w:styleId="JRCBackCovertext">
    <w:name w:val="JRC_Back_Cover_text"/>
    <w:basedOn w:val="Normal"/>
    <w:qFormat/>
    <w:rsid w:val="00C30033"/>
    <w:pPr>
      <w:spacing w:before="80" w:after="80"/>
      <w:ind w:left="414" w:hanging="414"/>
    </w:pPr>
    <w:rPr>
      <w:rFonts w:ascii="EC Square Sans Pro" w:eastAsia="EC Square Sans Pro" w:hAnsi="EC Square Sans Pro" w:cs="Times New Roman"/>
      <w:color w:val="A02B93" w:themeColor="accent5"/>
    </w:rPr>
  </w:style>
  <w:style w:type="paragraph" w:styleId="Revision">
    <w:name w:val="Revision"/>
    <w:hidden/>
    <w:uiPriority w:val="99"/>
    <w:semiHidden/>
    <w:rsid w:val="00C30033"/>
    <w:pPr>
      <w:spacing w:after="0" w:line="240" w:lineRule="auto"/>
    </w:pPr>
    <w:rPr>
      <w:kern w:val="0"/>
      <w:sz w:val="22"/>
      <w:szCs w:val="22"/>
      <w:lang w:val="en-GB"/>
      <w14:ligatures w14:val="none"/>
    </w:rPr>
  </w:style>
  <w:style w:type="character" w:customStyle="1" w:styleId="UnresolvedMention2">
    <w:name w:val="Unresolved Mention2"/>
    <w:basedOn w:val="DefaultParagraphFont"/>
    <w:uiPriority w:val="99"/>
    <w:semiHidden/>
    <w:unhideWhenUsed/>
    <w:rsid w:val="00C30033"/>
    <w:rPr>
      <w:color w:val="605E5C"/>
      <w:shd w:val="clear" w:color="auto" w:fill="E1DFDD"/>
    </w:rPr>
  </w:style>
  <w:style w:type="character" w:styleId="UnresolvedMention">
    <w:name w:val="Unresolved Mention"/>
    <w:basedOn w:val="DefaultParagraphFont"/>
    <w:uiPriority w:val="99"/>
    <w:semiHidden/>
    <w:unhideWhenUsed/>
    <w:rsid w:val="00C30033"/>
    <w:rPr>
      <w:color w:val="605E5C"/>
      <w:shd w:val="clear" w:color="auto" w:fill="E1DFDD"/>
    </w:rPr>
  </w:style>
  <w:style w:type="character" w:customStyle="1" w:styleId="JRCFrontCover-AuthorCharacter">
    <w:name w:val="JRC Front Cover - Author (Character)"/>
    <w:basedOn w:val="DefaultParagraphFont"/>
    <w:uiPriority w:val="1"/>
    <w:qFormat/>
    <w:rsid w:val="00C30033"/>
    <w:rPr>
      <w:rFonts w:ascii="EC Square Sans Pro Light" w:hAnsi="EC Square Sans Pro Light"/>
      <w:sz w:val="22"/>
    </w:rPr>
  </w:style>
  <w:style w:type="table" w:customStyle="1" w:styleId="TableNormal1">
    <w:name w:val="Table Normal1"/>
    <w:uiPriority w:val="2"/>
    <w:semiHidden/>
    <w:unhideWhenUsed/>
    <w:qFormat/>
    <w:rsid w:val="00C30033"/>
    <w:pPr>
      <w:widowControl w:val="0"/>
      <w:autoSpaceDE w:val="0"/>
      <w:autoSpaceDN w:val="0"/>
      <w:spacing w:after="0" w:line="240" w:lineRule="auto"/>
    </w:pPr>
    <w:rPr>
      <w:kern w:val="0"/>
      <w:sz w:val="22"/>
      <w:szCs w:val="22"/>
      <w:lang w:val="en-US"/>
      <w14:ligatures w14:val="none"/>
    </w:rPr>
    <w:tblPr>
      <w:tblInd w:w="0" w:type="dxa"/>
      <w:tblCellMar>
        <w:top w:w="0" w:type="dxa"/>
        <w:left w:w="0" w:type="dxa"/>
        <w:bottom w:w="0" w:type="dxa"/>
        <w:right w:w="0" w:type="dxa"/>
      </w:tblCellMar>
    </w:tblPr>
  </w:style>
  <w:style w:type="paragraph" w:customStyle="1" w:styleId="JRCLevel-1FronttitleNo-page-break">
    <w:name w:val="JRC_Level-1_Front_title_No-page-break"/>
    <w:basedOn w:val="JRCLevel-1Fronttitle"/>
    <w:qFormat/>
    <w:rsid w:val="00C30033"/>
    <w:pPr>
      <w:pageBreakBefore w:val="0"/>
    </w:pPr>
  </w:style>
  <w:style w:type="paragraph" w:customStyle="1" w:styleId="JRCLevel-3Backtitle">
    <w:name w:val="JRC_Level-3_Back_title"/>
    <w:basedOn w:val="JRCLevel-3title"/>
    <w:qFormat/>
    <w:rsid w:val="00C30033"/>
    <w:pPr>
      <w:numPr>
        <w:ilvl w:val="0"/>
        <w:numId w:val="0"/>
      </w:numPr>
      <w:spacing w:before="320" w:after="160"/>
    </w:pPr>
    <w:rPr>
      <w:rFonts w:asciiTheme="majorHAnsi" w:eastAsiaTheme="minorHAnsi" w:hAnsiTheme="majorHAnsi" w:cs="Times New Roman"/>
      <w:b/>
      <w:bCs/>
      <w:color w:val="auto"/>
      <w:sz w:val="24"/>
      <w:szCs w:val="24"/>
    </w:rPr>
  </w:style>
  <w:style w:type="paragraph" w:customStyle="1" w:styleId="JRCTabletext10pt">
    <w:name w:val="JRC_Table_text_10pt"/>
    <w:basedOn w:val="JRCText"/>
    <w:qFormat/>
    <w:rsid w:val="00C30033"/>
    <w:pPr>
      <w:spacing w:before="40" w:after="40"/>
    </w:pPr>
    <w:rPr>
      <w:color w:val="000000" w:themeColor="text1"/>
      <w:sz w:val="20"/>
      <w:szCs w:val="21"/>
    </w:rPr>
  </w:style>
  <w:style w:type="paragraph" w:customStyle="1" w:styleId="JRCTabletext9pt">
    <w:name w:val="JRC_Table_text_9pt"/>
    <w:basedOn w:val="JRCTabletext10pt"/>
    <w:qFormat/>
    <w:rsid w:val="00C30033"/>
    <w:pPr>
      <w:spacing w:before="60" w:after="60" w:line="240" w:lineRule="auto"/>
    </w:pPr>
    <w:rPr>
      <w:sz w:val="18"/>
      <w:lang w:eastAsia="en-GB"/>
    </w:rPr>
  </w:style>
  <w:style w:type="paragraph" w:customStyle="1" w:styleId="JRCFrontCover-Year">
    <w:name w:val="JRC Front Cover - Year"/>
    <w:basedOn w:val="Normal"/>
    <w:locked/>
    <w:rsid w:val="00C30033"/>
    <w:pPr>
      <w:spacing w:before="0" w:after="0" w:line="240" w:lineRule="auto"/>
      <w:ind w:left="-284"/>
    </w:pPr>
    <w:rPr>
      <w:rFonts w:ascii="EC Square Sans Pro Medium" w:eastAsia="Calibri" w:hAnsi="EC Square Sans Pro Medium" w:cs="Times New Roman"/>
      <w:color w:val="1B4489"/>
      <w:spacing w:val="4"/>
      <w:szCs w:val="36"/>
      <w:lang w:val="bg-BG"/>
    </w:rPr>
  </w:style>
  <w:style w:type="paragraph" w:customStyle="1" w:styleId="JRCFrontCover-Title">
    <w:name w:val="JRC Front Cover - Title"/>
    <w:basedOn w:val="Heading1"/>
    <w:qFormat/>
    <w:locked/>
    <w:rsid w:val="00C30033"/>
    <w:pPr>
      <w:pageBreakBefore/>
      <w:framePr w:wrap="around" w:vAnchor="text" w:hAnchor="text" w:y="1"/>
      <w:spacing w:after="480" w:line="760" w:lineRule="exact"/>
      <w:ind w:left="-284"/>
    </w:pPr>
    <w:rPr>
      <w:rFonts w:ascii="EC Square Sans Pro" w:eastAsia="Calibri" w:hAnsi="EC Square Sans Pro" w:cs="Times New Roman"/>
      <w:color w:val="0E2841" w:themeColor="text2"/>
      <w:spacing w:val="10"/>
      <w:sz w:val="68"/>
      <w:szCs w:val="64"/>
      <w:lang w:val="bg-BG" w:eastAsia="en-GB"/>
    </w:rPr>
  </w:style>
  <w:style w:type="character" w:customStyle="1" w:styleId="JRCFrontCover-TitleCharacter">
    <w:name w:val="JRC Front Cover - Title (Character)"/>
    <w:basedOn w:val="DefaultParagraphFont"/>
    <w:uiPriority w:val="1"/>
    <w:qFormat/>
    <w:rsid w:val="00C30033"/>
    <w:rPr>
      <w:rFonts w:ascii="EC Square Sans Pro" w:hAnsi="EC Square Sans Pro"/>
      <w:color w:val="0E2841" w:themeColor="text2"/>
      <w:sz w:val="68"/>
    </w:rPr>
  </w:style>
  <w:style w:type="character" w:customStyle="1" w:styleId="JRCFrontCover-SubtitleCharacter">
    <w:name w:val="JRC Front Cover -  Subtitle (Character)"/>
    <w:basedOn w:val="DefaultParagraphFont"/>
    <w:uiPriority w:val="1"/>
    <w:qFormat/>
    <w:rsid w:val="00C30033"/>
    <w:rPr>
      <w:rFonts w:ascii="EC Square Sans Pro Light" w:hAnsi="EC Square Sans Pro Light"/>
      <w:color w:val="0D0D0D" w:themeColor="text1" w:themeTint="F2"/>
      <w:sz w:val="36"/>
    </w:rPr>
  </w:style>
  <w:style w:type="paragraph" w:customStyle="1" w:styleId="Smart-Specialisation-label">
    <w:name w:val="Smart-Specialisation-label"/>
    <w:basedOn w:val="JRCCovertext"/>
    <w:qFormat/>
    <w:rsid w:val="00C30033"/>
    <w:pPr>
      <w:spacing w:before="600"/>
      <w:ind w:right="284"/>
      <w:jc w:val="right"/>
    </w:pPr>
    <w:rPr>
      <w:b/>
      <w:bCs/>
      <w:caps/>
      <w:color w:val="FFFFFF" w:themeColor="background1"/>
      <w:spacing w:val="30"/>
      <w:sz w:val="28"/>
      <w:szCs w:val="28"/>
    </w:rPr>
  </w:style>
  <w:style w:type="paragraph" w:customStyle="1" w:styleId="JRCBackCover-Description">
    <w:name w:val="JRC Back Cover - Description"/>
    <w:basedOn w:val="Normal"/>
    <w:qFormat/>
    <w:locked/>
    <w:rsid w:val="00C30033"/>
    <w:pPr>
      <w:spacing w:before="0" w:after="520" w:line="240" w:lineRule="auto"/>
      <w:ind w:left="3544" w:right="720"/>
      <w:contextualSpacing/>
    </w:pPr>
    <w:rPr>
      <w:rFonts w:ascii="EC Square Sans Pro" w:eastAsia="EC Square Sans Pro" w:hAnsi="EC Square Sans Pro" w:cs="Times New Roman"/>
      <w:color w:val="4E52A6"/>
      <w:sz w:val="28"/>
    </w:rPr>
  </w:style>
  <w:style w:type="paragraph" w:customStyle="1" w:styleId="JRCBackCover-Tagline">
    <w:name w:val="JRC Back Cover - Tagline"/>
    <w:qFormat/>
    <w:locked/>
    <w:rsid w:val="00C30033"/>
    <w:pPr>
      <w:framePr w:wrap="around" w:vAnchor="text" w:hAnchor="text" w:y="5892"/>
      <w:spacing w:before="160" w:after="320" w:line="240" w:lineRule="auto"/>
      <w:ind w:left="3544" w:right="1599"/>
      <w:contextualSpacing/>
    </w:pPr>
    <w:rPr>
      <w:rFonts w:ascii="EC Square Sans Pro Light" w:eastAsia="Times New Roman" w:hAnsi="EC Square Sans Pro Light" w:cs="Times New Roman"/>
      <w:color w:val="0E2841" w:themeColor="text2"/>
      <w:kern w:val="0"/>
      <w:sz w:val="70"/>
      <w:szCs w:val="70"/>
      <w:lang w:val="en-GB" w:eastAsia="en-GB"/>
      <w14:textFill>
        <w14:gradFill>
          <w14:gsLst>
            <w14:gs w14:pos="0">
              <w14:srgbClr w14:val="4E52A6"/>
            </w14:gs>
            <w14:gs w14:pos="87000">
              <w14:srgbClr w14:val="5A9CC1"/>
            </w14:gs>
          </w14:gsLst>
          <w14:lin w14:ang="0" w14:scaled="0"/>
        </w14:gradFill>
      </w14:textFill>
      <w14:ligatures w14:val="none"/>
    </w:rPr>
  </w:style>
  <w:style w:type="paragraph" w:customStyle="1" w:styleId="JRCBackCover-TextLinkLabel">
    <w:name w:val="JRC Back Cover - TextLink Label"/>
    <w:basedOn w:val="JRCBackCover-Description"/>
    <w:qFormat/>
    <w:locked/>
    <w:rsid w:val="00C30033"/>
    <w:pPr>
      <w:spacing w:after="60"/>
    </w:pPr>
    <w:rPr>
      <w:sz w:val="20"/>
    </w:rPr>
  </w:style>
  <w:style w:type="paragraph" w:customStyle="1" w:styleId="JRCBackCover-TextLink">
    <w:name w:val="JRC Back Cover - TextLink"/>
    <w:basedOn w:val="JRCBackCover-Description"/>
    <w:qFormat/>
    <w:locked/>
    <w:rsid w:val="00C30033"/>
    <w:pPr>
      <w:spacing w:after="0"/>
    </w:pPr>
    <w:rPr>
      <w:rFonts w:ascii="EC Square Sans Pro Medium" w:hAnsi="EC Square Sans Pro Medium"/>
      <w:sz w:val="20"/>
      <w:u w:val="single"/>
    </w:rPr>
  </w:style>
  <w:style w:type="paragraph" w:customStyle="1" w:styleId="JRCBackCover-QRCode">
    <w:name w:val="JRC Back Cover - QR Code"/>
    <w:basedOn w:val="Normal"/>
    <w:qFormat/>
    <w:locked/>
    <w:rsid w:val="00C30033"/>
    <w:pPr>
      <w:spacing w:before="240"/>
      <w:ind w:left="3544"/>
    </w:pPr>
    <w:rPr>
      <w:noProof/>
      <w:color w:val="0E2841" w:themeColor="text2"/>
    </w:rPr>
  </w:style>
  <w:style w:type="paragraph" w:customStyle="1" w:styleId="ID-JRCBackCoverCatalogCodePrint">
    <w:name w:val="ID - JRC Back Cover Catalog Code Print"/>
    <w:basedOn w:val="Normal"/>
    <w:qFormat/>
    <w:locked/>
    <w:rsid w:val="00C30033"/>
    <w:pPr>
      <w:widowControl w:val="0"/>
      <w:spacing w:before="0" w:after="0" w:line="240" w:lineRule="auto"/>
    </w:pPr>
    <w:rPr>
      <w:rFonts w:ascii="EC Square Sans Pro" w:eastAsia="EC Square Sans Pro" w:hAnsi="EC Square Sans Pro" w:cs="Times New Roman"/>
      <w:color w:val="000000" w:themeColor="text1"/>
      <w:sz w:val="16"/>
      <w14:textFill>
        <w14:solidFill>
          <w14:schemeClr w14:val="tx1">
            <w14:lumMod w14:val="95000"/>
            <w14:lumOff w14:val="5000"/>
            <w14:lumMod w14:val="95000"/>
            <w14:lumOff w14:val="5000"/>
          </w14:schemeClr>
        </w14:solidFill>
      </w14:textFill>
    </w:rPr>
  </w:style>
  <w:style w:type="paragraph" w:customStyle="1" w:styleId="JRCBackCover-URL">
    <w:name w:val="JRC Back Cover - URL"/>
    <w:basedOn w:val="JRCBackCover-TextLinkLabel"/>
    <w:qFormat/>
    <w:rsid w:val="00C30033"/>
    <w:pPr>
      <w:spacing w:before="120"/>
    </w:pPr>
  </w:style>
  <w:style w:type="paragraph" w:customStyle="1" w:styleId="JRCAboutEUList">
    <w:name w:val="JRC AboutEU List"/>
    <w:basedOn w:val="JRCAboutEUText"/>
    <w:uiPriority w:val="99"/>
    <w:rsid w:val="00C30033"/>
    <w:pPr>
      <w:spacing w:after="0"/>
      <w:ind w:left="924" w:hanging="357"/>
    </w:pPr>
  </w:style>
  <w:style w:type="paragraph" w:customStyle="1" w:styleId="JRCAboutEUSubtitle">
    <w:name w:val="JRC AboutEU Subtitle"/>
    <w:basedOn w:val="JRCAboutEUText"/>
    <w:uiPriority w:val="99"/>
    <w:rsid w:val="00C30033"/>
    <w:pPr>
      <w:spacing w:before="120"/>
    </w:pPr>
    <w:rPr>
      <w:b/>
    </w:rPr>
  </w:style>
  <w:style w:type="paragraph" w:customStyle="1" w:styleId="JRCAboutEUText">
    <w:name w:val="JRC AboutEU Text"/>
    <w:uiPriority w:val="99"/>
    <w:rsid w:val="00C30033"/>
    <w:pPr>
      <w:pBdr>
        <w:top w:val="single" w:sz="2" w:space="24" w:color="EDEDED"/>
        <w:left w:val="single" w:sz="2" w:space="24" w:color="EDEDED"/>
        <w:bottom w:val="single" w:sz="2" w:space="24" w:color="EDEDED"/>
        <w:right w:val="single" w:sz="2" w:space="24" w:color="EDEDED"/>
      </w:pBdr>
      <w:shd w:val="clear" w:color="auto" w:fill="EDEDED"/>
      <w:suppressAutoHyphens/>
      <w:spacing w:after="120" w:line="240" w:lineRule="auto"/>
      <w:ind w:left="567" w:right="567"/>
    </w:pPr>
    <w:rPr>
      <w:rFonts w:eastAsia="Times New Roman" w:cs="Times New Roman"/>
      <w:kern w:val="0"/>
      <w:sz w:val="20"/>
      <w:szCs w:val="20"/>
      <w:lang w:val="en-GB" w:eastAsia="en-GB"/>
      <w14:ligatures w14:val="none"/>
    </w:rPr>
  </w:style>
  <w:style w:type="paragraph" w:customStyle="1" w:styleId="JRCAboutEUTitle">
    <w:name w:val="JRC AboutEU Title"/>
    <w:basedOn w:val="JRCAboutEUText"/>
    <w:uiPriority w:val="99"/>
    <w:rsid w:val="00C30033"/>
    <w:pPr>
      <w:spacing w:before="480" w:after="240"/>
      <w:outlineLvl w:val="0"/>
    </w:pPr>
    <w:rPr>
      <w:rFonts w:asciiTheme="majorHAnsi" w:hAnsiTheme="majorHAnsi"/>
      <w:b/>
      <w:sz w:val="24"/>
    </w:rPr>
  </w:style>
  <w:style w:type="paragraph" w:customStyle="1" w:styleId="Default">
    <w:name w:val="Default"/>
    <w:rsid w:val="00C30033"/>
    <w:pPr>
      <w:autoSpaceDE w:val="0"/>
      <w:autoSpaceDN w:val="0"/>
      <w:adjustRightInd w:val="0"/>
      <w:spacing w:after="0" w:line="240" w:lineRule="auto"/>
    </w:pPr>
    <w:rPr>
      <w:rFonts w:ascii="EC Square Sans Pro" w:hAnsi="EC Square Sans Pro" w:cs="EC Square Sans Pro"/>
      <w:color w:val="000000"/>
      <w:kern w:val="0"/>
      <w:lang w:val="it-IT"/>
      <w14:ligatures w14:val="none"/>
    </w:rPr>
  </w:style>
  <w:style w:type="character" w:customStyle="1" w:styleId="apple-converted-space">
    <w:name w:val="apple-converted-space"/>
    <w:basedOn w:val="DefaultParagraphFont"/>
    <w:rsid w:val="00C30033"/>
  </w:style>
  <w:style w:type="character" w:customStyle="1" w:styleId="overflow-hidden">
    <w:name w:val="overflow-hidden"/>
    <w:basedOn w:val="DefaultParagraphFont"/>
    <w:rsid w:val="00C30033"/>
  </w:style>
  <w:style w:type="paragraph" w:customStyle="1" w:styleId="paragraph">
    <w:name w:val="paragraph"/>
    <w:basedOn w:val="Normal"/>
    <w:rsid w:val="00C30033"/>
    <w:pPr>
      <w:suppressAutoHyphens w:val="0"/>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normaltextrun">
    <w:name w:val="normaltextrun"/>
    <w:basedOn w:val="DefaultParagraphFont"/>
    <w:rsid w:val="00C30033"/>
  </w:style>
  <w:style w:type="character" w:customStyle="1" w:styleId="eop">
    <w:name w:val="eop"/>
    <w:basedOn w:val="DefaultParagraphFont"/>
    <w:rsid w:val="00C30033"/>
  </w:style>
  <w:style w:type="paragraph" w:customStyle="1" w:styleId="xmsonormal">
    <w:name w:val="x_msonormal"/>
    <w:basedOn w:val="Normal"/>
    <w:rsid w:val="00C30033"/>
    <w:pPr>
      <w:suppressAutoHyphens w:val="0"/>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bullet">
    <w:name w:val="bullet"/>
    <w:basedOn w:val="JRCTextbulletedlist1"/>
    <w:rsid w:val="00C30033"/>
    <w:pPr>
      <w:numPr>
        <w:numId w:val="0"/>
      </w:numPr>
    </w:pPr>
  </w:style>
  <w:style w:type="paragraph" w:customStyle="1" w:styleId="JRCsou">
    <w:name w:val="JRC_sou"/>
    <w:basedOn w:val="JRCText"/>
    <w:rsid w:val="00C30033"/>
    <w:rPr>
      <w:sz w:val="20"/>
      <w:szCs w:val="20"/>
    </w:rPr>
  </w:style>
  <w:style w:type="paragraph" w:customStyle="1" w:styleId="JRCLevel-4Backtitle">
    <w:name w:val="JRC_Level-4_Back_title"/>
    <w:basedOn w:val="JRCLevel-4title"/>
    <w:qFormat/>
    <w:rsid w:val="00C30033"/>
    <w:pPr>
      <w:numPr>
        <w:ilvl w:val="0"/>
        <w:numId w:val="0"/>
      </w:numPr>
      <w:spacing w:before="280" w:after="160"/>
    </w:pPr>
    <w:rPr>
      <w:rFonts w:asciiTheme="majorHAnsi" w:eastAsia="Times New Roman" w:hAnsiTheme="majorHAnsi" w:cs="Times New Roman"/>
      <w:b/>
      <w:bCs/>
      <w:color w:val="auto"/>
      <w:szCs w:val="24"/>
      <w:lang w:eastAsia="en-GB"/>
    </w:rPr>
  </w:style>
  <w:style w:type="paragraph" w:customStyle="1" w:styleId="Footnote">
    <w:name w:val="Footnote"/>
    <w:basedOn w:val="JRCText"/>
    <w:rsid w:val="00C30033"/>
    <w:rPr>
      <w:sz w:val="18"/>
      <w:szCs w:val="20"/>
      <w:lang w:val="en-IE"/>
    </w:rPr>
  </w:style>
  <w:style w:type="paragraph" w:customStyle="1" w:styleId="JRCFootnote">
    <w:name w:val="JRC_Footnote"/>
    <w:basedOn w:val="Footnote"/>
    <w:rsid w:val="00C300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2031798">
      <w:bodyDiv w:val="1"/>
      <w:marLeft w:val="0"/>
      <w:marRight w:val="0"/>
      <w:marTop w:val="0"/>
      <w:marBottom w:val="0"/>
      <w:divBdr>
        <w:top w:val="none" w:sz="0" w:space="0" w:color="auto"/>
        <w:left w:val="none" w:sz="0" w:space="0" w:color="auto"/>
        <w:bottom w:val="none" w:sz="0" w:space="0" w:color="auto"/>
        <w:right w:val="none" w:sz="0" w:space="0" w:color="auto"/>
      </w:divBdr>
    </w:div>
    <w:div w:id="638919495">
      <w:bodyDiv w:val="1"/>
      <w:marLeft w:val="0"/>
      <w:marRight w:val="0"/>
      <w:marTop w:val="0"/>
      <w:marBottom w:val="0"/>
      <w:divBdr>
        <w:top w:val="none" w:sz="0" w:space="0" w:color="auto"/>
        <w:left w:val="none" w:sz="0" w:space="0" w:color="auto"/>
        <w:bottom w:val="none" w:sz="0" w:space="0" w:color="auto"/>
        <w:right w:val="none" w:sz="0" w:space="0" w:color="auto"/>
      </w:divBdr>
    </w:div>
    <w:div w:id="17371222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chart" Target="charts/chart5.xml"/><Relationship Id="rId18" Type="http://schemas.openxmlformats.org/officeDocument/2006/relationships/chart" Target="charts/chart10.xml"/><Relationship Id="rId26" Type="http://schemas.openxmlformats.org/officeDocument/2006/relationships/chart" Target="charts/chart18.xml"/><Relationship Id="rId21" Type="http://schemas.openxmlformats.org/officeDocument/2006/relationships/chart" Target="charts/chart13.xml"/><Relationship Id="rId34" Type="http://schemas.openxmlformats.org/officeDocument/2006/relationships/hyperlink" Target="https://doi.org/10.1787/ead1588e-en" TargetMode="External"/><Relationship Id="rId7" Type="http://schemas.openxmlformats.org/officeDocument/2006/relationships/endnotes" Target="endnotes.xml"/><Relationship Id="rId12" Type="http://schemas.openxmlformats.org/officeDocument/2006/relationships/chart" Target="charts/chart4.xml"/><Relationship Id="rId17" Type="http://schemas.openxmlformats.org/officeDocument/2006/relationships/chart" Target="charts/chart9.xml"/><Relationship Id="rId25" Type="http://schemas.openxmlformats.org/officeDocument/2006/relationships/chart" Target="charts/chart17.xml"/><Relationship Id="rId33" Type="http://schemas.openxmlformats.org/officeDocument/2006/relationships/hyperlink" Target="https://www.monstat.org/eng/index.php" TargetMode="External"/><Relationship Id="rId2" Type="http://schemas.openxmlformats.org/officeDocument/2006/relationships/numbering" Target="numbering.xml"/><Relationship Id="rId16" Type="http://schemas.openxmlformats.org/officeDocument/2006/relationships/chart" Target="charts/chart8.xml"/><Relationship Id="rId20" Type="http://schemas.openxmlformats.org/officeDocument/2006/relationships/chart" Target="charts/chart12.xml"/><Relationship Id="rId29" Type="http://schemas.openxmlformats.org/officeDocument/2006/relationships/image" Target="media/image1.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3.xml"/><Relationship Id="rId24" Type="http://schemas.openxmlformats.org/officeDocument/2006/relationships/chart" Target="charts/chart16.xml"/><Relationship Id="rId32" Type="http://schemas.openxmlformats.org/officeDocument/2006/relationships/image" Target="media/image2.png"/><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chart" Target="charts/chart7.xml"/><Relationship Id="rId23" Type="http://schemas.openxmlformats.org/officeDocument/2006/relationships/chart" Target="charts/chart15.xml"/><Relationship Id="rId28" Type="http://schemas.openxmlformats.org/officeDocument/2006/relationships/chart" Target="charts/chart20.xml"/><Relationship Id="rId36" Type="http://schemas.openxmlformats.org/officeDocument/2006/relationships/fontTable" Target="fontTable.xml"/><Relationship Id="rId10" Type="http://schemas.openxmlformats.org/officeDocument/2006/relationships/chart" Target="charts/chart2.xml"/><Relationship Id="rId19" Type="http://schemas.openxmlformats.org/officeDocument/2006/relationships/chart" Target="charts/chart11.xml"/><Relationship Id="rId31" Type="http://schemas.openxmlformats.org/officeDocument/2006/relationships/chart" Target="charts/chart22.xml"/><Relationship Id="rId4" Type="http://schemas.openxmlformats.org/officeDocument/2006/relationships/settings" Target="settings.xml"/><Relationship Id="rId9" Type="http://schemas.openxmlformats.org/officeDocument/2006/relationships/chart" Target="charts/chart1.xml"/><Relationship Id="rId14" Type="http://schemas.openxmlformats.org/officeDocument/2006/relationships/chart" Target="charts/chart6.xml"/><Relationship Id="rId22" Type="http://schemas.openxmlformats.org/officeDocument/2006/relationships/chart" Target="charts/chart14.xml"/><Relationship Id="rId27" Type="http://schemas.openxmlformats.org/officeDocument/2006/relationships/chart" Target="charts/chart19.xml"/><Relationship Id="rId30" Type="http://schemas.openxmlformats.org/officeDocument/2006/relationships/chart" Target="charts/chart21.xml"/><Relationship Id="rId35" Type="http://schemas.openxmlformats.org/officeDocument/2006/relationships/hyperlink" Target="https://databank.worldbank.org/source/world-development-indicators" TargetMode="External"/><Relationship Id="rId8" Type="http://schemas.openxmlformats.org/officeDocument/2006/relationships/header" Target="header1.xml"/><Relationship Id="rId3" Type="http://schemas.openxmlformats.org/officeDocument/2006/relationships/styles" Target="styles.xml"/></Relationships>
</file>

<file path=word/_rels/footnotes.xml.rels><?xml version="1.0" encoding="UTF-8" standalone="yes"?>
<Relationships xmlns="http://schemas.openxmlformats.org/package/2006/relationships"><Relationship Id="rId2" Type="http://schemas.openxmlformats.org/officeDocument/2006/relationships/hyperlink" Target="https://www.wipo.int/web-publications/global-innovation-index-2024/en/appendix-iii-sources-and-definitions.html" TargetMode="External"/><Relationship Id="rId1" Type="http://schemas.openxmlformats.org/officeDocument/2006/relationships/hyperlink" Target="https://dashboard.tech.ec.europa.eu/qs_digit_dashboard_mt/public/extensions/RTD_BI_public_Country_Profile/RTD_BI_public_Country_Profile.html?Country=ME" TargetMode="External"/></Relationships>
</file>

<file path=word/charts/_rels/chart1.xml.rels><?xml version="1.0" encoding="UTF-8" standalone="yes"?>
<Relationships xmlns="http://schemas.openxmlformats.org/package/2006/relationships"><Relationship Id="rId3" Type="http://schemas.openxmlformats.org/officeDocument/2006/relationships/oleObject" Target="file:///C:\Users\tasso\Desktop\Universit&#224;\Incarichi%20esterni\JRC%202024\Dati%20e%20progetto\GRAFICI.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Users\tasso\Desktop\Universit&#224;\Incarichi%20esterni\JRC%202024\Dati%20e%20progetto\Nuovo%20Foglio%20di%20lavoro%20di%20Microsoft%20Excel.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file:///C:\Users\tasso\Desktop\Universit&#224;\Incarichi%20esterni\JRC%202024\Dati%20e%20progetto\GRAFICI.xlsx" TargetMode="External"/><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oleObject" Target="file:///C:\Users\mazzo\Dropbox\generale\montenegro%20S3\tabelle%20innovation.xlsx" TargetMode="External"/><Relationship Id="rId2" Type="http://schemas.microsoft.com/office/2011/relationships/chartColorStyle" Target="colors6.xml"/><Relationship Id="rId1" Type="http://schemas.microsoft.com/office/2011/relationships/chartStyle" Target="style6.xml"/></Relationships>
</file>

<file path=word/charts/_rels/chart7.xml.rels><?xml version="1.0" encoding="UTF-8" standalone="yes"?>
<Relationships xmlns="http://schemas.openxmlformats.org/package/2006/relationships"><Relationship Id="rId3" Type="http://schemas.openxmlformats.org/officeDocument/2006/relationships/oleObject" Target="file:///C:\Users\mazzo\Dropbox\generale\montenegro%20S3\tabelle%20innovation.xlsx" TargetMode="External"/><Relationship Id="rId2" Type="http://schemas.microsoft.com/office/2011/relationships/chartColorStyle" Target="colors7.xml"/><Relationship Id="rId1" Type="http://schemas.microsoft.com/office/2011/relationships/chartStyle" Target="style7.xml"/></Relationships>
</file>

<file path=word/charts/_rels/chart8.xml.rels><?xml version="1.0" encoding="UTF-8" standalone="yes"?>
<Relationships xmlns="http://schemas.openxmlformats.org/package/2006/relationships"><Relationship Id="rId3" Type="http://schemas.openxmlformats.org/officeDocument/2006/relationships/oleObject" Target="file:///C:\Users\mazzo\Dropbox\generale\montenegro%20S3\tabelle%20innovation.xlsx" TargetMode="External"/><Relationship Id="rId2" Type="http://schemas.microsoft.com/office/2011/relationships/chartColorStyle" Target="colors8.xml"/><Relationship Id="rId1" Type="http://schemas.microsoft.com/office/2011/relationships/chartStyle" Target="style8.xml"/></Relationships>
</file>

<file path=word/charts/_rels/chart9.xml.rels><?xml version="1.0" encoding="UTF-8" standalone="yes"?>
<Relationships xmlns="http://schemas.openxmlformats.org/package/2006/relationships"><Relationship Id="rId3" Type="http://schemas.openxmlformats.org/officeDocument/2006/relationships/package" Target="../embeddings/Microsoft_Excel_Worksheet2.xlsx"/><Relationship Id="rId2" Type="http://schemas.microsoft.com/office/2011/relationships/chartColorStyle" Target="colors9.xml"/><Relationship Id="rId1" Type="http://schemas.microsoft.com/office/2011/relationships/chartStyle" Target="style9.xml"/></Relationships>
</file>

<file path=word/charts/_rels/chart10.xml.rels><?xml version="1.0" encoding="UTF-8" standalone="yes"?>
<Relationships xmlns="http://schemas.openxmlformats.org/package/2006/relationships"><Relationship Id="rId3" Type="http://schemas.openxmlformats.org/officeDocument/2006/relationships/oleObject" Target="file:///C:\Users\tasso\Desktop\TradeData.xlsx" TargetMode="External"/><Relationship Id="rId2" Type="http://schemas.microsoft.com/office/2011/relationships/chartColorStyle" Target="colors10.xml"/><Relationship Id="rId1" Type="http://schemas.microsoft.com/office/2011/relationships/chartStyle" Target="style10.xml"/></Relationships>
</file>

<file path=word/charts/_rels/chart11.xml.rels><?xml version="1.0" encoding="UTF-8" standalone="yes"?>
<Relationships xmlns="http://schemas.openxmlformats.org/package/2006/relationships"><Relationship Id="rId3" Type="http://schemas.openxmlformats.org/officeDocument/2006/relationships/package" Target="../embeddings/Microsoft_Excel_Worksheet3.xlsx"/><Relationship Id="rId2" Type="http://schemas.microsoft.com/office/2011/relationships/chartColorStyle" Target="colors11.xml"/><Relationship Id="rId1" Type="http://schemas.microsoft.com/office/2011/relationships/chartStyle" Target="style11.xml"/></Relationships>
</file>

<file path=word/charts/_rels/chart12.xml.rels><?xml version="1.0" encoding="UTF-8" standalone="yes"?>
<Relationships xmlns="http://schemas.openxmlformats.org/package/2006/relationships"><Relationship Id="rId3" Type="http://schemas.openxmlformats.org/officeDocument/2006/relationships/oleObject" Target="file:///C:\Users\tasso\Desktop\Nuovo%20Foglio%20di%20lavoro%20di%20Microsoft%20Excel%20(2).xlsx" TargetMode="External"/><Relationship Id="rId2" Type="http://schemas.microsoft.com/office/2011/relationships/chartColorStyle" Target="colors12.xml"/><Relationship Id="rId1" Type="http://schemas.microsoft.com/office/2011/relationships/chartStyle" Target="style12.xml"/></Relationships>
</file>

<file path=word/charts/_rels/chart13.xml.rels><?xml version="1.0" encoding="UTF-8" standalone="yes"?>
<Relationships xmlns="http://schemas.openxmlformats.org/package/2006/relationships"><Relationship Id="rId3" Type="http://schemas.openxmlformats.org/officeDocument/2006/relationships/oleObject" Target="file:///C:\Users\tasso\Desktop\Nuovo%20Foglio%20di%20lavoro%20di%20Microsoft%20Excel%20(2).xlsx" TargetMode="External"/><Relationship Id="rId2" Type="http://schemas.microsoft.com/office/2011/relationships/chartColorStyle" Target="colors13.xml"/><Relationship Id="rId1" Type="http://schemas.microsoft.com/office/2011/relationships/chartStyle" Target="style13.xml"/></Relationships>
</file>

<file path=word/charts/_rels/chart14.xml.rels><?xml version="1.0" encoding="UTF-8" standalone="yes"?>
<Relationships xmlns="http://schemas.openxmlformats.org/package/2006/relationships"><Relationship Id="rId3" Type="http://schemas.openxmlformats.org/officeDocument/2006/relationships/package" Target="../embeddings/Microsoft_Excel_Worksheet4.xlsx"/><Relationship Id="rId2" Type="http://schemas.microsoft.com/office/2011/relationships/chartColorStyle" Target="colors14.xml"/><Relationship Id="rId1" Type="http://schemas.microsoft.com/office/2011/relationships/chartStyle" Target="style14.xml"/></Relationships>
</file>

<file path=word/charts/_rels/chart15.xml.rels><?xml version="1.0" encoding="UTF-8" standalone="yes"?>
<Relationships xmlns="http://schemas.openxmlformats.org/package/2006/relationships"><Relationship Id="rId3" Type="http://schemas.openxmlformats.org/officeDocument/2006/relationships/package" Target="../embeddings/Microsoft_Excel_Worksheet5.xlsx"/><Relationship Id="rId2" Type="http://schemas.microsoft.com/office/2011/relationships/chartColorStyle" Target="colors15.xml"/><Relationship Id="rId1" Type="http://schemas.microsoft.com/office/2011/relationships/chartStyle" Target="style15.xml"/></Relationships>
</file>

<file path=word/charts/_rels/chart16.xml.rels><?xml version="1.0" encoding="UTF-8" standalone="yes"?>
<Relationships xmlns="http://schemas.openxmlformats.org/package/2006/relationships"><Relationship Id="rId3" Type="http://schemas.openxmlformats.org/officeDocument/2006/relationships/oleObject" Target="file:///C:\Users\tasso\Desktop\Universit&#224;\Incarichi%20esterni\JRC%202024\Dati%20e%20progetto\UNIVERSITY%20STudents\Studenti%2018-23.xlsx" TargetMode="External"/><Relationship Id="rId2" Type="http://schemas.microsoft.com/office/2011/relationships/chartColorStyle" Target="colors16.xml"/><Relationship Id="rId1" Type="http://schemas.microsoft.com/office/2011/relationships/chartStyle" Target="style16.xml"/></Relationships>
</file>

<file path=word/charts/_rels/chart17.xml.rels><?xml version="1.0" encoding="UTF-8" standalone="yes"?>
<Relationships xmlns="http://schemas.openxmlformats.org/package/2006/relationships"><Relationship Id="rId3" Type="http://schemas.openxmlformats.org/officeDocument/2006/relationships/oleObject" Target="file:///C:\Users\mazzo\Dropbox\generale\montenegro%20S3\revisione%20richieste\grafici%20GII.xlsx" TargetMode="External"/><Relationship Id="rId2" Type="http://schemas.microsoft.com/office/2011/relationships/chartColorStyle" Target="colors17.xml"/><Relationship Id="rId1" Type="http://schemas.microsoft.com/office/2011/relationships/chartStyle" Target="style17.xml"/></Relationships>
</file>

<file path=word/charts/_rels/chart18.xml.rels><?xml version="1.0" encoding="UTF-8" standalone="yes"?>
<Relationships xmlns="http://schemas.openxmlformats.org/package/2006/relationships"><Relationship Id="rId3" Type="http://schemas.openxmlformats.org/officeDocument/2006/relationships/oleObject" Target="file:///C:\Users\mazzo\Dropbox\generale\montenegro%20S3\revisione%20richieste\grafici%20GII.xlsx" TargetMode="External"/><Relationship Id="rId2" Type="http://schemas.microsoft.com/office/2011/relationships/chartColorStyle" Target="colors18.xml"/><Relationship Id="rId1" Type="http://schemas.microsoft.com/office/2011/relationships/chartStyle" Target="style18.xml"/></Relationships>
</file>

<file path=word/charts/_rels/chart19.xml.rels><?xml version="1.0" encoding="UTF-8" standalone="yes"?>
<Relationships xmlns="http://schemas.openxmlformats.org/package/2006/relationships"><Relationship Id="rId3" Type="http://schemas.openxmlformats.org/officeDocument/2006/relationships/oleObject" Target="file:///C:\Users\mazzo\Dropbox\generale\montenegro%20S3\revisione%20richieste\grafici%20GII.xlsx" TargetMode="External"/><Relationship Id="rId2" Type="http://schemas.microsoft.com/office/2011/relationships/chartColorStyle" Target="colors19.xml"/><Relationship Id="rId1" Type="http://schemas.microsoft.com/office/2011/relationships/chartStyle" Target="style19.xml"/></Relationships>
</file>

<file path=word/charts/_rels/chart20.xml.rels><?xml version="1.0" encoding="UTF-8" standalone="yes"?>
<Relationships xmlns="http://schemas.openxmlformats.org/package/2006/relationships"><Relationship Id="rId3" Type="http://schemas.openxmlformats.org/officeDocument/2006/relationships/oleObject" Target="file:///C:\Users\mazzo\Dropbox\generale\montenegro%20S3\revisione%20richieste\grafici%20GII.xlsx" TargetMode="External"/><Relationship Id="rId2" Type="http://schemas.microsoft.com/office/2011/relationships/chartColorStyle" Target="colors20.xml"/><Relationship Id="rId1" Type="http://schemas.microsoft.com/office/2011/relationships/chartStyle" Target="style20.xml"/></Relationships>
</file>

<file path=word/charts/_rels/chart21.xml.rels><?xml version="1.0" encoding="UTF-8" standalone="yes"?>
<Relationships xmlns="http://schemas.openxmlformats.org/package/2006/relationships"><Relationship Id="rId3" Type="http://schemas.openxmlformats.org/officeDocument/2006/relationships/oleObject" Target="file:///C:\Users\mazzo\Dropbox\generale\montenegro%20S3\tabelle%20innovation.xlsx" TargetMode="External"/><Relationship Id="rId2" Type="http://schemas.microsoft.com/office/2011/relationships/chartColorStyle" Target="colors21.xml"/><Relationship Id="rId1" Type="http://schemas.microsoft.com/office/2011/relationships/chartStyle" Target="style21.xml"/></Relationships>
</file>

<file path=word/charts/_rels/chart22.xml.rels><?xml version="1.0" encoding="UTF-8" standalone="yes"?>
<Relationships xmlns="http://schemas.openxmlformats.org/package/2006/relationships"><Relationship Id="rId3" Type="http://schemas.openxmlformats.org/officeDocument/2006/relationships/oleObject" Target="file:///C:\Users\mazzo\Dropbox\generale\montenegro%20S3\tabelle%20innovation.xlsx" TargetMode="External"/><Relationship Id="rId2" Type="http://schemas.microsoft.com/office/2011/relationships/chartColorStyle" Target="colors22.xml"/><Relationship Id="rId1" Type="http://schemas.microsoft.com/office/2011/relationships/chartStyle" Target="style2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Sheet1!$A$6</c:f>
              <c:strCache>
                <c:ptCount val="1"/>
                <c:pt idx="0">
                  <c:v>EU-27</c:v>
                </c:pt>
              </c:strCache>
            </c:strRef>
          </c:tx>
          <c:spPr>
            <a:ln w="28575" cap="rnd">
              <a:solidFill>
                <a:schemeClr val="accent1"/>
              </a:solidFill>
              <a:round/>
            </a:ln>
            <a:effectLst/>
          </c:spPr>
          <c:marker>
            <c:symbol val="none"/>
          </c:marker>
          <c:dLbls>
            <c:dLbl>
              <c:idx val="0"/>
              <c:layout>
                <c:manualLayout>
                  <c:x val="7.0422535211267607E-3"/>
                  <c:y val="6.4814814814814811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68AC-40DB-93CB-ED50128FD327}"/>
                </c:ext>
              </c:extLst>
            </c:dLbl>
            <c:dLbl>
              <c:idx val="1"/>
              <c:layout>
                <c:manualLayout>
                  <c:x val="7.0422535211267174E-3"/>
                  <c:y val="6.0185185185185182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68AC-40DB-93CB-ED50128FD327}"/>
                </c:ext>
              </c:extLst>
            </c:dLbl>
            <c:dLbl>
              <c:idx val="2"/>
              <c:layout>
                <c:manualLayout>
                  <c:x val="4.6948356807511738E-3"/>
                  <c:y val="8.7962962962962965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68AC-40DB-93CB-ED50128FD327}"/>
                </c:ext>
              </c:extLst>
            </c:dLbl>
            <c:dLbl>
              <c:idx val="3"/>
              <c:layout>
                <c:manualLayout>
                  <c:x val="4.6948356807510879E-3"/>
                  <c:y val="9.7222222222222224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68AC-40DB-93CB-ED50128FD327}"/>
                </c:ext>
              </c:extLst>
            </c:dLbl>
            <c:dLbl>
              <c:idx val="4"/>
              <c:layout>
                <c:manualLayout>
                  <c:x val="9.3896713615022609E-3"/>
                  <c:y val="7.407407407407407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68AC-40DB-93CB-ED50128FD327}"/>
                </c:ext>
              </c:extLst>
            </c:dLbl>
            <c:dLbl>
              <c:idx val="5"/>
              <c:layout>
                <c:manualLayout>
                  <c:x val="2.3474178403755006E-3"/>
                  <c:y val="5.092592592592584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68AC-40DB-93CB-ED50128FD327}"/>
                </c:ext>
              </c:extLst>
            </c:dLbl>
            <c:dLbl>
              <c:idx val="6"/>
              <c:layout>
                <c:manualLayout>
                  <c:x val="7.0422535211266749E-3"/>
                  <c:y val="5.5555555555555552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68AC-40DB-93CB-ED50128FD327}"/>
                </c:ext>
              </c:extLst>
            </c:dLbl>
            <c:dLbl>
              <c:idx val="7"/>
              <c:layout>
                <c:manualLayout>
                  <c:x val="2.3474178403755869E-3"/>
                  <c:y val="3.7037037037037035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68AC-40DB-93CB-ED50128FD327}"/>
                </c:ext>
              </c:extLst>
            </c:dLbl>
            <c:dLbl>
              <c:idx val="8"/>
              <c:layout>
                <c:manualLayout>
                  <c:x val="7.0422535211267607E-3"/>
                  <c:y val="3.7037037037037035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68AC-40DB-93CB-ED50128FD327}"/>
                </c:ext>
              </c:extLst>
            </c:dLbl>
            <c:dLbl>
              <c:idx val="9"/>
              <c:layout>
                <c:manualLayout>
                  <c:x val="-9.3896713615023476E-3"/>
                  <c:y val="7.407407407407407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9-68AC-40DB-93CB-ED50128FD327}"/>
                </c:ext>
              </c:extLst>
            </c:dLbl>
            <c:spPr>
              <a:noFill/>
              <a:ln>
                <a:noFill/>
              </a:ln>
              <a:effectLst/>
            </c:spPr>
            <c:txPr>
              <a:bodyPr rot="0" spcFirstLastPara="1" vertOverflow="ellipsis" vert="horz" wrap="square" anchor="ctr" anchorCtr="1"/>
              <a:lstStyle/>
              <a:p>
                <a:pPr>
                  <a:defRPr sz="800" b="0" i="0" u="none" strike="noStrike" kern="1200" baseline="0">
                    <a:solidFill>
                      <a:sysClr val="windowText" lastClr="000000"/>
                    </a:solidFill>
                    <a:latin typeface="+mn-lt"/>
                    <a:ea typeface="+mn-ea"/>
                    <a:cs typeface="Times New Roman" panose="02020603050405020304" pitchFamily="18" charset="0"/>
                  </a:defRPr>
                </a:pPr>
                <a:endParaRPr lang="en-IT"/>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Sheet1!$B$5:$K$5</c:f>
              <c:strCache>
                <c:ptCount val="10"/>
                <c:pt idx="0">
                  <c:v>2014</c:v>
                </c:pt>
                <c:pt idx="1">
                  <c:v>2015</c:v>
                </c:pt>
                <c:pt idx="2">
                  <c:v>2016</c:v>
                </c:pt>
                <c:pt idx="3">
                  <c:v>2017</c:v>
                </c:pt>
                <c:pt idx="4">
                  <c:v>2018</c:v>
                </c:pt>
                <c:pt idx="5">
                  <c:v>2019</c:v>
                </c:pt>
                <c:pt idx="6">
                  <c:v>2020</c:v>
                </c:pt>
                <c:pt idx="7">
                  <c:v>2021</c:v>
                </c:pt>
                <c:pt idx="8">
                  <c:v>2022</c:v>
                </c:pt>
                <c:pt idx="9">
                  <c:v>2023</c:v>
                </c:pt>
              </c:strCache>
            </c:strRef>
          </c:cat>
          <c:val>
            <c:numRef>
              <c:f>Sheet1!$B$6:$K$6</c:f>
              <c:numCache>
                <c:formatCode>0.00</c:formatCode>
                <c:ptCount val="10"/>
                <c:pt idx="0">
                  <c:v>1</c:v>
                </c:pt>
                <c:pt idx="1">
                  <c:v>1.0369927797063132</c:v>
                </c:pt>
                <c:pt idx="2">
                  <c:v>1.0650790020690872</c:v>
                </c:pt>
                <c:pt idx="3">
                  <c:v>1.1095545767513444</c:v>
                </c:pt>
                <c:pt idx="4">
                  <c:v>1.1483159751119052</c:v>
                </c:pt>
                <c:pt idx="5">
                  <c:v>1.1899927016316856</c:v>
                </c:pt>
                <c:pt idx="6">
                  <c:v>1.1442637030955891</c:v>
                </c:pt>
                <c:pt idx="7">
                  <c:v>1.2465614766239292</c:v>
                </c:pt>
                <c:pt idx="8">
                  <c:v>1.3602584912224016</c:v>
                </c:pt>
                <c:pt idx="9">
                  <c:v>1.4487328427298778</c:v>
                </c:pt>
              </c:numCache>
            </c:numRef>
          </c:val>
          <c:smooth val="0"/>
          <c:extLst>
            <c:ext xmlns:c16="http://schemas.microsoft.com/office/drawing/2014/chart" uri="{C3380CC4-5D6E-409C-BE32-E72D297353CC}">
              <c16:uniqueId val="{0000000A-68AC-40DB-93CB-ED50128FD327}"/>
            </c:ext>
          </c:extLst>
        </c:ser>
        <c:ser>
          <c:idx val="1"/>
          <c:order val="1"/>
          <c:tx>
            <c:strRef>
              <c:f>Sheet1!$A$7</c:f>
              <c:strCache>
                <c:ptCount val="1"/>
                <c:pt idx="0">
                  <c:v>Montenegro</c:v>
                </c:pt>
              </c:strCache>
            </c:strRef>
          </c:tx>
          <c:spPr>
            <a:ln w="28575" cap="rnd">
              <a:solidFill>
                <a:schemeClr val="accent2"/>
              </a:solidFill>
              <a:round/>
            </a:ln>
            <a:effectLst/>
          </c:spPr>
          <c:marker>
            <c:symbol val="none"/>
          </c:marker>
          <c:dLbls>
            <c:dLbl>
              <c:idx val="0"/>
              <c:layout>
                <c:manualLayout>
                  <c:x val="-2.3474178403755869E-3"/>
                  <c:y val="-6.018518518518523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B-68AC-40DB-93CB-ED50128FD327}"/>
                </c:ext>
              </c:extLst>
            </c:dLbl>
            <c:dLbl>
              <c:idx val="1"/>
              <c:layout>
                <c:manualLayout>
                  <c:x val="-2.3474178403755912E-2"/>
                  <c:y val="-6.9444444444444489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C-68AC-40DB-93CB-ED50128FD327}"/>
                </c:ext>
              </c:extLst>
            </c:dLbl>
            <c:dLbl>
              <c:idx val="2"/>
              <c:layout>
                <c:manualLayout>
                  <c:x val="-1.4084507042253521E-2"/>
                  <c:y val="-9.7222222222222265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D-68AC-40DB-93CB-ED50128FD327}"/>
                </c:ext>
              </c:extLst>
            </c:dLbl>
            <c:dLbl>
              <c:idx val="3"/>
              <c:layout>
                <c:manualLayout>
                  <c:x val="-2.3474178403755867E-2"/>
                  <c:y val="-9.2592592592592629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E-68AC-40DB-93CB-ED50128FD327}"/>
                </c:ext>
              </c:extLst>
            </c:dLbl>
            <c:dLbl>
              <c:idx val="4"/>
              <c:layout>
                <c:manualLayout>
                  <c:x val="-1.4084507042253606E-2"/>
                  <c:y val="-8.333333333333337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F-68AC-40DB-93CB-ED50128FD327}"/>
                </c:ext>
              </c:extLst>
            </c:dLbl>
            <c:dLbl>
              <c:idx val="5"/>
              <c:layout>
                <c:manualLayout>
                  <c:x val="-7.0422535211267607E-3"/>
                  <c:y val="-8.7962962962963007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0-68AC-40DB-93CB-ED50128FD327}"/>
                </c:ext>
              </c:extLst>
            </c:dLbl>
            <c:dLbl>
              <c:idx val="6"/>
              <c:layout>
                <c:manualLayout>
                  <c:x val="-1.4084507042253606E-2"/>
                  <c:y val="-0.11111111111111116"/>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1-68AC-40DB-93CB-ED50128FD327}"/>
                </c:ext>
              </c:extLst>
            </c:dLbl>
            <c:dLbl>
              <c:idx val="7"/>
              <c:layout>
                <c:manualLayout>
                  <c:x val="-3.0516431924882716E-2"/>
                  <c:y val="-0.10648148148148148"/>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2-68AC-40DB-93CB-ED50128FD327}"/>
                </c:ext>
              </c:extLst>
            </c:dLbl>
            <c:dLbl>
              <c:idx val="8"/>
              <c:layout>
                <c:manualLayout>
                  <c:x val="-3.5211267605633804E-2"/>
                  <c:y val="-9.7222222222222224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3-68AC-40DB-93CB-ED50128FD327}"/>
                </c:ext>
              </c:extLst>
            </c:dLbl>
            <c:dLbl>
              <c:idx val="9"/>
              <c:layout>
                <c:manualLayout>
                  <c:x val="-2.8169014084507043E-2"/>
                  <c:y val="-7.4074074074074084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4-68AC-40DB-93CB-ED50128FD327}"/>
                </c:ext>
              </c:extLst>
            </c:dLbl>
            <c:spPr>
              <a:noFill/>
              <a:ln>
                <a:noFill/>
              </a:ln>
              <a:effectLst/>
            </c:spPr>
            <c:txPr>
              <a:bodyPr rot="0" spcFirstLastPara="1" vertOverflow="ellipsis" vert="horz" wrap="square" anchor="ctr" anchorCtr="1"/>
              <a:lstStyle/>
              <a:p>
                <a:pPr>
                  <a:defRPr sz="800" b="0" i="0" u="none" strike="noStrike" kern="1200" baseline="0">
                    <a:solidFill>
                      <a:sysClr val="windowText" lastClr="000000"/>
                    </a:solidFill>
                    <a:latin typeface="+mn-lt"/>
                    <a:ea typeface="+mn-ea"/>
                    <a:cs typeface="Times New Roman" panose="02020603050405020304" pitchFamily="18" charset="0"/>
                  </a:defRPr>
                </a:pPr>
                <a:endParaRPr lang="en-IT"/>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Sheet1!$B$5:$K$5</c:f>
              <c:strCache>
                <c:ptCount val="10"/>
                <c:pt idx="0">
                  <c:v>2014</c:v>
                </c:pt>
                <c:pt idx="1">
                  <c:v>2015</c:v>
                </c:pt>
                <c:pt idx="2">
                  <c:v>2016</c:v>
                </c:pt>
                <c:pt idx="3">
                  <c:v>2017</c:v>
                </c:pt>
                <c:pt idx="4">
                  <c:v>2018</c:v>
                </c:pt>
                <c:pt idx="5">
                  <c:v>2019</c:v>
                </c:pt>
                <c:pt idx="6">
                  <c:v>2020</c:v>
                </c:pt>
                <c:pt idx="7">
                  <c:v>2021</c:v>
                </c:pt>
                <c:pt idx="8">
                  <c:v>2022</c:v>
                </c:pt>
                <c:pt idx="9">
                  <c:v>2023</c:v>
                </c:pt>
              </c:strCache>
            </c:strRef>
          </c:cat>
          <c:val>
            <c:numRef>
              <c:f>Sheet1!$B$7:$K$7</c:f>
              <c:numCache>
                <c:formatCode>0.00</c:formatCode>
                <c:ptCount val="10"/>
                <c:pt idx="0">
                  <c:v>1</c:v>
                </c:pt>
                <c:pt idx="1">
                  <c:v>1.056855316810781</c:v>
                </c:pt>
                <c:pt idx="2">
                  <c:v>1.1435264177680093</c:v>
                </c:pt>
                <c:pt idx="3">
                  <c:v>1.2432690361201886</c:v>
                </c:pt>
                <c:pt idx="4">
                  <c:v>1.3485352381503226</c:v>
                </c:pt>
                <c:pt idx="5">
                  <c:v>1.431707105468637</c:v>
                </c:pt>
                <c:pt idx="6">
                  <c:v>1.2104456462014519</c:v>
                </c:pt>
                <c:pt idx="7">
                  <c:v>1.4329795540646058</c:v>
                </c:pt>
                <c:pt idx="8">
                  <c:v>1.7131785187541571</c:v>
                </c:pt>
                <c:pt idx="9">
                  <c:v>2.0138234188380233</c:v>
                </c:pt>
              </c:numCache>
            </c:numRef>
          </c:val>
          <c:smooth val="0"/>
          <c:extLst>
            <c:ext xmlns:c16="http://schemas.microsoft.com/office/drawing/2014/chart" uri="{C3380CC4-5D6E-409C-BE32-E72D297353CC}">
              <c16:uniqueId val="{00000015-68AC-40DB-93CB-ED50128FD327}"/>
            </c:ext>
          </c:extLst>
        </c:ser>
        <c:dLbls>
          <c:showLegendKey val="0"/>
          <c:showVal val="0"/>
          <c:showCatName val="0"/>
          <c:showSerName val="0"/>
          <c:showPercent val="0"/>
          <c:showBubbleSize val="0"/>
        </c:dLbls>
        <c:smooth val="0"/>
        <c:axId val="1536826639"/>
        <c:axId val="1536825679"/>
      </c:lineChart>
      <c:catAx>
        <c:axId val="1536826639"/>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n-lt"/>
                <a:ea typeface="+mn-ea"/>
                <a:cs typeface="Times New Roman" panose="02020603050405020304" pitchFamily="18" charset="0"/>
              </a:defRPr>
            </a:pPr>
            <a:endParaRPr lang="en-IT"/>
          </a:p>
        </c:txPr>
        <c:crossAx val="1536825679"/>
        <c:crosses val="autoZero"/>
        <c:auto val="1"/>
        <c:lblAlgn val="ctr"/>
        <c:lblOffset val="100"/>
        <c:noMultiLvlLbl val="0"/>
      </c:catAx>
      <c:valAx>
        <c:axId val="1536825679"/>
        <c:scaling>
          <c:orientation val="minMax"/>
        </c:scaling>
        <c:delete val="0"/>
        <c:axPos val="l"/>
        <c:majorGridlines>
          <c:spPr>
            <a:ln w="9525" cap="flat" cmpd="sng" algn="ctr">
              <a:solidFill>
                <a:schemeClr val="tx1">
                  <a:lumMod val="15000"/>
                  <a:lumOff val="85000"/>
                </a:schemeClr>
              </a:solidFill>
              <a:round/>
            </a:ln>
            <a:effectLst/>
          </c:spPr>
        </c:majorGridlines>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n-lt"/>
                <a:ea typeface="+mn-ea"/>
                <a:cs typeface="Times New Roman" panose="02020603050405020304" pitchFamily="18" charset="0"/>
              </a:defRPr>
            </a:pPr>
            <a:endParaRPr lang="en-IT"/>
          </a:p>
        </c:txPr>
        <c:crossAx val="1536826639"/>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800" b="0" i="0" u="none" strike="noStrike" kern="1200" baseline="0">
              <a:solidFill>
                <a:sysClr val="windowText" lastClr="000000"/>
              </a:solidFill>
              <a:latin typeface="+mn-lt"/>
              <a:ea typeface="+mn-ea"/>
              <a:cs typeface="Times New Roman" panose="02020603050405020304" pitchFamily="18" charset="0"/>
            </a:defRPr>
          </a:pPr>
          <a:endParaRPr lang="en-IT"/>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sz="800">
          <a:solidFill>
            <a:sysClr val="windowText" lastClr="000000"/>
          </a:solidFill>
          <a:latin typeface="+mn-lt"/>
          <a:cs typeface="Times New Roman" panose="02020603050405020304" pitchFamily="18" charset="0"/>
        </a:defRPr>
      </a:pPr>
      <a:endParaRPr lang="en-IT"/>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Sheet1!$B$1</c:f>
              <c:strCache>
                <c:ptCount val="1"/>
                <c:pt idx="0">
                  <c:v>2023</c:v>
                </c:pt>
              </c:strCache>
            </c:strRef>
          </c:tx>
          <c:spPr>
            <a:solidFill>
              <a:schemeClr val="accent1"/>
            </a:solidFill>
            <a:ln>
              <a:noFill/>
            </a:ln>
            <a:effectLst/>
          </c:spPr>
          <c:invertIfNegative val="0"/>
          <c:dLbls>
            <c:spPr>
              <a:noFill/>
              <a:ln>
                <a:noFill/>
              </a:ln>
              <a:effectLst/>
            </c:spPr>
            <c:txPr>
              <a:bodyPr rot="0" spcFirstLastPara="1" vertOverflow="ellipsis" vert="horz" wrap="square" anchor="ctr" anchorCtr="1"/>
              <a:lstStyle/>
              <a:p>
                <a:pPr>
                  <a:defRPr sz="800" b="0" i="0" u="none" strike="noStrike" kern="1200" baseline="0">
                    <a:solidFill>
                      <a:sysClr val="windowText" lastClr="000000"/>
                    </a:solidFill>
                    <a:latin typeface="+mn-lt"/>
                    <a:ea typeface="+mn-ea"/>
                    <a:cs typeface="Times New Roman" panose="02020603050405020304" pitchFamily="18" charset="0"/>
                  </a:defRPr>
                </a:pPr>
                <a:endParaRPr lang="en-IT"/>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Sheet1!$A$2:$A$20</c:f>
              <c:strCache>
                <c:ptCount val="19"/>
                <c:pt idx="0">
                  <c:v>Agriculture, forestry and fishing</c:v>
                </c:pt>
                <c:pt idx="1">
                  <c:v>Mining and quarrying</c:v>
                </c:pt>
                <c:pt idx="2">
                  <c:v>Manufacturing</c:v>
                </c:pt>
                <c:pt idx="3">
                  <c:v>Electricity, gas, steam and air conditioning supply</c:v>
                </c:pt>
                <c:pt idx="4">
                  <c:v>Water supply; sewerage, waste management and remediation activities</c:v>
                </c:pt>
                <c:pt idx="5">
                  <c:v>Construction</c:v>
                </c:pt>
                <c:pt idx="6">
                  <c:v>Wholesale and retail trade; repair of motor vehicles and motorcycles</c:v>
                </c:pt>
                <c:pt idx="7">
                  <c:v>Transportation and storage</c:v>
                </c:pt>
                <c:pt idx="8">
                  <c:v>Accommodation and food service activities</c:v>
                </c:pt>
                <c:pt idx="9">
                  <c:v>Information and communication</c:v>
                </c:pt>
                <c:pt idx="10">
                  <c:v>Financial and insurance activities</c:v>
                </c:pt>
                <c:pt idx="11">
                  <c:v>Real estate activities</c:v>
                </c:pt>
                <c:pt idx="12">
                  <c:v>Professional, scientific and technical activities</c:v>
                </c:pt>
                <c:pt idx="13">
                  <c:v>Administrative and support service activities</c:v>
                </c:pt>
                <c:pt idx="14">
                  <c:v>Public administration and defense; compulsory social security</c:v>
                </c:pt>
                <c:pt idx="15">
                  <c:v>Education</c:v>
                </c:pt>
                <c:pt idx="16">
                  <c:v>Human health and social work activities</c:v>
                </c:pt>
                <c:pt idx="17">
                  <c:v>Arts, entertainment and recreation</c:v>
                </c:pt>
                <c:pt idx="18">
                  <c:v>Other service activities; Activities of households as employers</c:v>
                </c:pt>
              </c:strCache>
            </c:strRef>
          </c:cat>
          <c:val>
            <c:numRef>
              <c:f>Sheet1!$B$2:$B$20</c:f>
              <c:numCache>
                <c:formatCode>0.00%</c:formatCode>
                <c:ptCount val="19"/>
                <c:pt idx="0">
                  <c:v>5.5E-2</c:v>
                </c:pt>
                <c:pt idx="1">
                  <c:v>1.0999999999999999E-2</c:v>
                </c:pt>
                <c:pt idx="2">
                  <c:v>3.2000000000000001E-2</c:v>
                </c:pt>
                <c:pt idx="3">
                  <c:v>3.7999999999999999E-2</c:v>
                </c:pt>
                <c:pt idx="4">
                  <c:v>1.2999999999999999E-2</c:v>
                </c:pt>
                <c:pt idx="5">
                  <c:v>3.2000000000000001E-2</c:v>
                </c:pt>
                <c:pt idx="6">
                  <c:v>0.13700000000000001</c:v>
                </c:pt>
                <c:pt idx="7" formatCode="0%">
                  <c:v>0.04</c:v>
                </c:pt>
                <c:pt idx="8">
                  <c:v>9.1999999999999998E-2</c:v>
                </c:pt>
                <c:pt idx="9">
                  <c:v>4.4999999999999998E-2</c:v>
                </c:pt>
                <c:pt idx="10">
                  <c:v>4.2000000000000003E-2</c:v>
                </c:pt>
                <c:pt idx="11">
                  <c:v>5.2999999999999999E-2</c:v>
                </c:pt>
                <c:pt idx="12">
                  <c:v>3.3000000000000002E-2</c:v>
                </c:pt>
                <c:pt idx="13">
                  <c:v>1.7000000000000001E-2</c:v>
                </c:pt>
                <c:pt idx="14">
                  <c:v>5.8999999999999997E-2</c:v>
                </c:pt>
                <c:pt idx="15">
                  <c:v>4.2000000000000003E-2</c:v>
                </c:pt>
                <c:pt idx="16">
                  <c:v>3.7999999999999999E-2</c:v>
                </c:pt>
                <c:pt idx="17">
                  <c:v>1.4999999999999999E-2</c:v>
                </c:pt>
                <c:pt idx="18">
                  <c:v>8.9999999999999993E-3</c:v>
                </c:pt>
              </c:numCache>
            </c:numRef>
          </c:val>
          <c:extLst>
            <c:ext xmlns:c16="http://schemas.microsoft.com/office/drawing/2014/chart" uri="{C3380CC4-5D6E-409C-BE32-E72D297353CC}">
              <c16:uniqueId val="{00000000-05AE-456C-B030-0BD08BE2787C}"/>
            </c:ext>
          </c:extLst>
        </c:ser>
        <c:dLbls>
          <c:showLegendKey val="0"/>
          <c:showVal val="0"/>
          <c:showCatName val="0"/>
          <c:showSerName val="0"/>
          <c:showPercent val="0"/>
          <c:showBubbleSize val="0"/>
        </c:dLbls>
        <c:gapWidth val="219"/>
        <c:axId val="1093734639"/>
        <c:axId val="1093741839"/>
      </c:barChart>
      <c:catAx>
        <c:axId val="1093734639"/>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Times New Roman" panose="02020603050405020304" pitchFamily="18" charset="0"/>
              </a:defRPr>
            </a:pPr>
            <a:endParaRPr lang="en-IT"/>
          </a:p>
        </c:txPr>
        <c:crossAx val="1093741839"/>
        <c:crosses val="autoZero"/>
        <c:auto val="1"/>
        <c:lblAlgn val="ctr"/>
        <c:lblOffset val="100"/>
        <c:noMultiLvlLbl val="0"/>
      </c:catAx>
      <c:valAx>
        <c:axId val="1093741839"/>
        <c:scaling>
          <c:orientation val="minMax"/>
          <c:min val="0"/>
        </c:scaling>
        <c:delete val="0"/>
        <c:axPos val="b"/>
        <c:majorGridlines>
          <c:spPr>
            <a:ln w="9525" cap="flat" cmpd="sng" algn="ctr">
              <a:solidFill>
                <a:schemeClr val="tx1">
                  <a:lumMod val="15000"/>
                  <a:lumOff val="85000"/>
                </a:schemeClr>
              </a:solidFill>
              <a:round/>
            </a:ln>
            <a:effectLst/>
          </c:spPr>
        </c:majorGridlines>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n-lt"/>
                <a:ea typeface="+mn-ea"/>
                <a:cs typeface="Times New Roman" panose="02020603050405020304" pitchFamily="18" charset="0"/>
              </a:defRPr>
            </a:pPr>
            <a:endParaRPr lang="en-IT"/>
          </a:p>
        </c:txPr>
        <c:crossAx val="1093734639"/>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solidFill>
            <a:sysClr val="windowText" lastClr="000000"/>
          </a:solidFill>
          <a:latin typeface="+mn-lt"/>
          <a:cs typeface="Times New Roman" panose="02020603050405020304" pitchFamily="18" charset="0"/>
        </a:defRPr>
      </a:pPr>
      <a:endParaRPr lang="en-IT"/>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'Business entities regional disp'!$A$23</c:f>
              <c:strCache>
                <c:ptCount val="1"/>
                <c:pt idx="0">
                  <c:v>Percentage by municipality</c:v>
                </c:pt>
              </c:strCache>
            </c:strRef>
          </c:tx>
          <c:spPr>
            <a:solidFill>
              <a:schemeClr val="accent1"/>
            </a:solidFill>
            <a:ln>
              <a:noFill/>
            </a:ln>
            <a:effectLst/>
          </c:spPr>
          <c:invertIfNegative val="0"/>
          <c:cat>
            <c:strRef>
              <c:f>'Business entities regional disp'!$B$1:$Z$1</c:f>
              <c:strCache>
                <c:ptCount val="25"/>
                <c:pt idx="0">
                  <c:v>BERANE</c:v>
                </c:pt>
                <c:pt idx="1">
                  <c:v>CETINJE</c:v>
                </c:pt>
                <c:pt idx="2">
                  <c:v>PODGORICA</c:v>
                </c:pt>
                <c:pt idx="3">
                  <c:v>PLJEVLJA</c:v>
                </c:pt>
                <c:pt idx="4">
                  <c:v>BIJELO POLJE</c:v>
                </c:pt>
                <c:pt idx="5">
                  <c:v>NIKŠIĆ</c:v>
                </c:pt>
                <c:pt idx="6">
                  <c:v>HERCEG NOVI</c:v>
                </c:pt>
                <c:pt idx="7">
                  <c:v>BUDVA</c:v>
                </c:pt>
                <c:pt idx="8">
                  <c:v>TIVAT</c:v>
                </c:pt>
                <c:pt idx="9">
                  <c:v>BAR</c:v>
                </c:pt>
                <c:pt idx="10">
                  <c:v>TUZI</c:v>
                </c:pt>
                <c:pt idx="11">
                  <c:v>KOTOR</c:v>
                </c:pt>
                <c:pt idx="12">
                  <c:v>ULCINJ</c:v>
                </c:pt>
                <c:pt idx="13">
                  <c:v>MOJKOVAC</c:v>
                </c:pt>
                <c:pt idx="14">
                  <c:v>DANILOVGRAD</c:v>
                </c:pt>
                <c:pt idx="15">
                  <c:v>ROŽAJE</c:v>
                </c:pt>
                <c:pt idx="16">
                  <c:v>KOLAŠIN</c:v>
                </c:pt>
                <c:pt idx="17">
                  <c:v>PLJEVLJA</c:v>
                </c:pt>
                <c:pt idx="18">
                  <c:v>ŽABLJAK</c:v>
                </c:pt>
                <c:pt idx="19">
                  <c:v>ANDRIJEVICA</c:v>
                </c:pt>
                <c:pt idx="20">
                  <c:v>ŠAVNIK</c:v>
                </c:pt>
                <c:pt idx="21">
                  <c:v>PLUŽINE</c:v>
                </c:pt>
                <c:pt idx="22">
                  <c:v>GUSINJE</c:v>
                </c:pt>
                <c:pt idx="23">
                  <c:v>PETNJICA</c:v>
                </c:pt>
                <c:pt idx="24">
                  <c:v>ZETA</c:v>
                </c:pt>
              </c:strCache>
            </c:strRef>
          </c:cat>
          <c:val>
            <c:numRef>
              <c:f>'Business entities regional disp'!$B$23:$Z$23</c:f>
              <c:numCache>
                <c:formatCode>0%</c:formatCode>
                <c:ptCount val="25"/>
                <c:pt idx="0">
                  <c:v>1.7960671806825652E-2</c:v>
                </c:pt>
                <c:pt idx="1">
                  <c:v>1.5360707668399975E-2</c:v>
                </c:pt>
                <c:pt idx="2">
                  <c:v>0.32140935987089836</c:v>
                </c:pt>
                <c:pt idx="3">
                  <c:v>1.7960671806825652E-2</c:v>
                </c:pt>
                <c:pt idx="4">
                  <c:v>3.4098380252226404E-2</c:v>
                </c:pt>
                <c:pt idx="5">
                  <c:v>5.6601518139979677E-2</c:v>
                </c:pt>
                <c:pt idx="6">
                  <c:v>8.4244815014045779E-2</c:v>
                </c:pt>
                <c:pt idx="7">
                  <c:v>0.17153786384555617</c:v>
                </c:pt>
                <c:pt idx="8">
                  <c:v>5.3224553224553224E-2</c:v>
                </c:pt>
                <c:pt idx="9">
                  <c:v>0.10181698643237105</c:v>
                </c:pt>
                <c:pt idx="10">
                  <c:v>6.7240451855836471E-3</c:v>
                </c:pt>
                <c:pt idx="11">
                  <c:v>3.9477616400693326E-2</c:v>
                </c:pt>
                <c:pt idx="12">
                  <c:v>2.6178949255872334E-2</c:v>
                </c:pt>
                <c:pt idx="13">
                  <c:v>3.9148885302731458E-3</c:v>
                </c:pt>
                <c:pt idx="14">
                  <c:v>1.4703245472476242E-2</c:v>
                </c:pt>
                <c:pt idx="15">
                  <c:v>1.5808977347438885E-2</c:v>
                </c:pt>
                <c:pt idx="16">
                  <c:v>6.0665829896599131E-3</c:v>
                </c:pt>
                <c:pt idx="17">
                  <c:v>3.4666188512342357E-3</c:v>
                </c:pt>
                <c:pt idx="18">
                  <c:v>3.1378877532723688E-3</c:v>
                </c:pt>
                <c:pt idx="19">
                  <c:v>2.0321558783097243E-3</c:v>
                </c:pt>
                <c:pt idx="20">
                  <c:v>9.8619329388560163E-4</c:v>
                </c:pt>
                <c:pt idx="21">
                  <c:v>1.1655011655011655E-3</c:v>
                </c:pt>
                <c:pt idx="22">
                  <c:v>6.5746219592373442E-4</c:v>
                </c:pt>
                <c:pt idx="23">
                  <c:v>9.8619329388560163E-4</c:v>
                </c:pt>
                <c:pt idx="24">
                  <c:v>4.7815432430817044E-4</c:v>
                </c:pt>
              </c:numCache>
            </c:numRef>
          </c:val>
          <c:extLst>
            <c:ext xmlns:c16="http://schemas.microsoft.com/office/drawing/2014/chart" uri="{C3380CC4-5D6E-409C-BE32-E72D297353CC}">
              <c16:uniqueId val="{00000000-0202-4852-8B18-937DBE0906F8}"/>
            </c:ext>
          </c:extLst>
        </c:ser>
        <c:dLbls>
          <c:showLegendKey val="0"/>
          <c:showVal val="0"/>
          <c:showCatName val="0"/>
          <c:showSerName val="0"/>
          <c:showPercent val="0"/>
          <c:showBubbleSize val="0"/>
        </c:dLbls>
        <c:gapWidth val="219"/>
        <c:overlap val="-27"/>
        <c:axId val="38945600"/>
        <c:axId val="38939840"/>
      </c:barChart>
      <c:catAx>
        <c:axId val="3894560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n-lt"/>
                <a:ea typeface="+mn-ea"/>
                <a:cs typeface="Times New Roman" panose="02020603050405020304" pitchFamily="18" charset="0"/>
              </a:defRPr>
            </a:pPr>
            <a:endParaRPr lang="en-IT"/>
          </a:p>
        </c:txPr>
        <c:crossAx val="38939840"/>
        <c:crosses val="autoZero"/>
        <c:auto val="1"/>
        <c:lblAlgn val="ctr"/>
        <c:lblOffset val="100"/>
        <c:noMultiLvlLbl val="0"/>
      </c:catAx>
      <c:valAx>
        <c:axId val="38939840"/>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n-lt"/>
                <a:ea typeface="+mn-ea"/>
                <a:cs typeface="Times New Roman" panose="02020603050405020304" pitchFamily="18" charset="0"/>
              </a:defRPr>
            </a:pPr>
            <a:endParaRPr lang="en-IT"/>
          </a:p>
        </c:txPr>
        <c:crossAx val="38945600"/>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1200">
          <a:solidFill>
            <a:sysClr val="windowText" lastClr="000000"/>
          </a:solidFill>
          <a:latin typeface="Times New Roman" panose="02020603050405020304" pitchFamily="18" charset="0"/>
          <a:cs typeface="Times New Roman" panose="02020603050405020304" pitchFamily="18" charset="0"/>
        </a:defRPr>
      </a:pPr>
      <a:endParaRPr lang="en-IT"/>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'Business entities regional disp'!$AB$1</c:f>
              <c:strCache>
                <c:ptCount val="1"/>
                <c:pt idx="0">
                  <c:v>PERCENTAGE by sector</c:v>
                </c:pt>
              </c:strCache>
            </c:strRef>
          </c:tx>
          <c:spPr>
            <a:solidFill>
              <a:schemeClr val="accent1"/>
            </a:solidFill>
            <a:ln>
              <a:noFill/>
            </a:ln>
            <a:effectLst/>
          </c:spPr>
          <c:invertIfNegative val="0"/>
          <c:cat>
            <c:strRef>
              <c:f>'Business entities regional disp'!$A$2:$A$21</c:f>
              <c:strCache>
                <c:ptCount val="20"/>
                <c:pt idx="0">
                  <c:v>AGRICULTURE, FORESTRY AND FISHERIES</c:v>
                </c:pt>
                <c:pt idx="1">
                  <c:v>ORE AND STONE EXTRACTION</c:v>
                </c:pt>
                <c:pt idx="2">
                  <c:v>MANUFACTURING INDUSTRY</c:v>
                </c:pt>
                <c:pt idx="3">
                  <c:v>SUPPLY OF ELECTRICAL ENERGY, GAS AND STEAM</c:v>
                </c:pt>
                <c:pt idx="4">
                  <c:v>WATER SUPPLY, WASTEWATER MANAGEMENT</c:v>
                </c:pt>
                <c:pt idx="5">
                  <c:v>CONSTRUCTION</c:v>
                </c:pt>
                <c:pt idx="6">
                  <c:v>WHOLESALE AND RETAIL TRADE AND REPAIR OF MOTOR VEHICLES AND MOTORCYCLES</c:v>
                </c:pt>
                <c:pt idx="7">
                  <c:v>TRANSPORT AND STORAGE</c:v>
                </c:pt>
                <c:pt idx="8">
                  <c:v> ACCOMMODATION AND FOOD SERVICES</c:v>
                </c:pt>
                <c:pt idx="9">
                  <c:v>INFORMATION AND COMMUNICATIONS</c:v>
                </c:pt>
                <c:pt idx="10">
                  <c:v> FINANCIAL ACTIVITIES AND INSURANCE ACTIVITIES</c:v>
                </c:pt>
                <c:pt idx="11">
                  <c:v>REAL ESTATE BUSINESS</c:v>
                </c:pt>
                <c:pt idx="12">
                  <c:v> PROFESSIONAL, SCIENTIFIC AND TECHNICAL ACTIVITIES</c:v>
                </c:pt>
                <c:pt idx="13">
                  <c:v> ADMINISTRATIVE AND AUXILIARY SERVICE ACTIVITIES</c:v>
                </c:pt>
                <c:pt idx="14">
                  <c:v> STATE ADMINISTRATION AND DEFENSE AND MANDATORY SOCIAL INSURANCE</c:v>
                </c:pt>
                <c:pt idx="15">
                  <c:v>EDUCATION</c:v>
                </c:pt>
                <c:pt idx="16">
                  <c:v>HEALTH AND SOCIAL PROTECTION</c:v>
                </c:pt>
                <c:pt idx="17">
                  <c:v> ART, ENTERTAINMENT AND RECREATION</c:v>
                </c:pt>
                <c:pt idx="18">
                  <c:v> OTHER SERVICE ACTIVITIES</c:v>
                </c:pt>
                <c:pt idx="19">
                  <c:v>ACTIVITY OF HOUSEHOLDS AS EMPLOYERS, ACTIVITY OF HOUSEHOLDS THAT PRODUCE GOODS AND SERVICES FOR THEIR OWN NEEDS</c:v>
                </c:pt>
              </c:strCache>
            </c:strRef>
          </c:cat>
          <c:val>
            <c:numRef>
              <c:f>'Business entities regional disp'!$AB$2:$AB$21</c:f>
              <c:numCache>
                <c:formatCode>0%</c:formatCode>
                <c:ptCount val="20"/>
                <c:pt idx="0">
                  <c:v>1.0429741198971968E-2</c:v>
                </c:pt>
                <c:pt idx="1">
                  <c:v>2.002271233040464E-3</c:v>
                </c:pt>
                <c:pt idx="2">
                  <c:v>6.7509413663259812E-2</c:v>
                </c:pt>
                <c:pt idx="3">
                  <c:v>3.1677723985416295E-3</c:v>
                </c:pt>
                <c:pt idx="4">
                  <c:v>3.2275416890801506E-3</c:v>
                </c:pt>
                <c:pt idx="5">
                  <c:v>0.10220548682087144</c:v>
                </c:pt>
                <c:pt idx="6">
                  <c:v>0.2261968800430339</c:v>
                </c:pt>
                <c:pt idx="7">
                  <c:v>4.7845317076086309E-2</c:v>
                </c:pt>
                <c:pt idx="8">
                  <c:v>0.10863068555376247</c:v>
                </c:pt>
                <c:pt idx="9">
                  <c:v>7.2410495487418569E-2</c:v>
                </c:pt>
                <c:pt idx="10">
                  <c:v>3.7056960133883209E-3</c:v>
                </c:pt>
                <c:pt idx="11">
                  <c:v>4.6560277329508098E-2</c:v>
                </c:pt>
                <c:pt idx="12">
                  <c:v>0.16305062458908612</c:v>
                </c:pt>
                <c:pt idx="13">
                  <c:v>5.5764748072440383E-2</c:v>
                </c:pt>
                <c:pt idx="14">
                  <c:v>8.9653935807781964E-5</c:v>
                </c:pt>
                <c:pt idx="15">
                  <c:v>9.8021636483174943E-3</c:v>
                </c:pt>
                <c:pt idx="16">
                  <c:v>1.7004363158209312E-2</c:v>
                </c:pt>
                <c:pt idx="17">
                  <c:v>1.7362978901440441E-2</c:v>
                </c:pt>
                <c:pt idx="18">
                  <c:v>4.2555734863427168E-2</c:v>
                </c:pt>
                <c:pt idx="19">
                  <c:v>0</c:v>
                </c:pt>
              </c:numCache>
            </c:numRef>
          </c:val>
          <c:extLst>
            <c:ext xmlns:c16="http://schemas.microsoft.com/office/drawing/2014/chart" uri="{C3380CC4-5D6E-409C-BE32-E72D297353CC}">
              <c16:uniqueId val="{00000000-F2C2-4B16-ABEA-F30C6A900F68}"/>
            </c:ext>
          </c:extLst>
        </c:ser>
        <c:dLbls>
          <c:showLegendKey val="0"/>
          <c:showVal val="0"/>
          <c:showCatName val="0"/>
          <c:showSerName val="0"/>
          <c:showPercent val="0"/>
          <c:showBubbleSize val="0"/>
        </c:dLbls>
        <c:gapWidth val="182"/>
        <c:axId val="1088902128"/>
        <c:axId val="1088908848"/>
      </c:barChart>
      <c:catAx>
        <c:axId val="1088902128"/>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n-lt"/>
                <a:ea typeface="+mn-ea"/>
                <a:cs typeface="Times New Roman" panose="02020603050405020304" pitchFamily="18" charset="0"/>
              </a:defRPr>
            </a:pPr>
            <a:endParaRPr lang="en-IT"/>
          </a:p>
        </c:txPr>
        <c:crossAx val="1088908848"/>
        <c:crosses val="autoZero"/>
        <c:auto val="1"/>
        <c:lblAlgn val="ctr"/>
        <c:lblOffset val="100"/>
        <c:noMultiLvlLbl val="0"/>
      </c:catAx>
      <c:valAx>
        <c:axId val="1088908848"/>
        <c:scaling>
          <c:orientation val="minMax"/>
        </c:scaling>
        <c:delete val="0"/>
        <c:axPos val="b"/>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n-lt"/>
                <a:ea typeface="+mn-ea"/>
                <a:cs typeface="Times New Roman" panose="02020603050405020304" pitchFamily="18" charset="0"/>
              </a:defRPr>
            </a:pPr>
            <a:endParaRPr lang="en-IT"/>
          </a:p>
        </c:txPr>
        <c:crossAx val="1088902128"/>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1000">
          <a:solidFill>
            <a:sysClr val="windowText" lastClr="000000"/>
          </a:solidFill>
          <a:latin typeface="Times New Roman" panose="02020603050405020304" pitchFamily="18" charset="0"/>
          <a:cs typeface="Times New Roman" panose="02020603050405020304" pitchFamily="18" charset="0"/>
        </a:defRPr>
      </a:pPr>
      <a:endParaRPr lang="en-IT"/>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7785205184522829"/>
          <c:y val="1.6209843796050692E-2"/>
          <c:w val="0.77474446344703052"/>
          <c:h val="0.59659094337345764"/>
        </c:manualLayout>
      </c:layout>
      <c:barChart>
        <c:barDir val="bar"/>
        <c:grouping val="percentStacked"/>
        <c:varyColors val="0"/>
        <c:ser>
          <c:idx val="0"/>
          <c:order val="0"/>
          <c:tx>
            <c:strRef>
              <c:f>Foglio2!$A$27</c:f>
              <c:strCache>
                <c:ptCount val="1"/>
                <c:pt idx="0">
                  <c:v>AGRICULTURE, FORESTRY AND FISHERIES</c:v>
                </c:pt>
              </c:strCache>
            </c:strRef>
          </c:tx>
          <c:spPr>
            <a:solidFill>
              <a:schemeClr val="accent1"/>
            </a:solidFill>
            <a:ln>
              <a:noFill/>
            </a:ln>
            <a:effectLst/>
          </c:spPr>
          <c:invertIfNegative val="0"/>
          <c:cat>
            <c:strRef>
              <c:f>Foglio2!$B$26:$Z$26</c:f>
              <c:strCache>
                <c:ptCount val="25"/>
                <c:pt idx="0">
                  <c:v>BERANE</c:v>
                </c:pt>
                <c:pt idx="1">
                  <c:v>CETINJE</c:v>
                </c:pt>
                <c:pt idx="2">
                  <c:v>PODGORICA</c:v>
                </c:pt>
                <c:pt idx="3">
                  <c:v>PLJEVLJA</c:v>
                </c:pt>
                <c:pt idx="4">
                  <c:v>BIJELO POLJE</c:v>
                </c:pt>
                <c:pt idx="5">
                  <c:v>NIKŠIĆ</c:v>
                </c:pt>
                <c:pt idx="6">
                  <c:v>HERCEG NOVI</c:v>
                </c:pt>
                <c:pt idx="7">
                  <c:v>BUDVA</c:v>
                </c:pt>
                <c:pt idx="8">
                  <c:v>TIVAT</c:v>
                </c:pt>
                <c:pt idx="9">
                  <c:v>BAR</c:v>
                </c:pt>
                <c:pt idx="10">
                  <c:v>TUZI</c:v>
                </c:pt>
                <c:pt idx="11">
                  <c:v>KOTOR</c:v>
                </c:pt>
                <c:pt idx="12">
                  <c:v>ULCINJ</c:v>
                </c:pt>
                <c:pt idx="13">
                  <c:v>MOJKOVAC</c:v>
                </c:pt>
                <c:pt idx="14">
                  <c:v>DANILOVGRAD</c:v>
                </c:pt>
                <c:pt idx="15">
                  <c:v>ROŽAJE</c:v>
                </c:pt>
                <c:pt idx="16">
                  <c:v>KOLAŠIN</c:v>
                </c:pt>
                <c:pt idx="17">
                  <c:v>PLJEVLJA</c:v>
                </c:pt>
                <c:pt idx="18">
                  <c:v>ŽABLJAK</c:v>
                </c:pt>
                <c:pt idx="19">
                  <c:v>ANDRIJEVICA</c:v>
                </c:pt>
                <c:pt idx="20">
                  <c:v>ŠAVNIK</c:v>
                </c:pt>
                <c:pt idx="21">
                  <c:v>PLUŽINE</c:v>
                </c:pt>
                <c:pt idx="22">
                  <c:v>GUSINJE</c:v>
                </c:pt>
                <c:pt idx="23">
                  <c:v>PETNJICA</c:v>
                </c:pt>
                <c:pt idx="24">
                  <c:v>ZETA</c:v>
                </c:pt>
              </c:strCache>
            </c:strRef>
          </c:cat>
          <c:val>
            <c:numRef>
              <c:f>Foglio2!$B$27:$Z$27</c:f>
              <c:numCache>
                <c:formatCode>0%</c:formatCode>
                <c:ptCount val="25"/>
                <c:pt idx="0">
                  <c:v>1.8302828618968387E-2</c:v>
                </c:pt>
                <c:pt idx="1">
                  <c:v>7.7821011673151752E-3</c:v>
                </c:pt>
                <c:pt idx="2">
                  <c:v>6.1366806136680611E-3</c:v>
                </c:pt>
                <c:pt idx="3">
                  <c:v>1.9966722129783693E-2</c:v>
                </c:pt>
                <c:pt idx="4">
                  <c:v>3.6809815950920248E-2</c:v>
                </c:pt>
                <c:pt idx="5">
                  <c:v>2.2703273495248151E-2</c:v>
                </c:pt>
                <c:pt idx="6">
                  <c:v>6.3852429939694928E-3</c:v>
                </c:pt>
                <c:pt idx="7">
                  <c:v>5.749128919860627E-3</c:v>
                </c:pt>
                <c:pt idx="8">
                  <c:v>7.2992700729927005E-3</c:v>
                </c:pt>
                <c:pt idx="9">
                  <c:v>5.8702670971529205E-3</c:v>
                </c:pt>
                <c:pt idx="10">
                  <c:v>1.7777777777777778E-2</c:v>
                </c:pt>
                <c:pt idx="11">
                  <c:v>1.6654049962149888E-2</c:v>
                </c:pt>
                <c:pt idx="12">
                  <c:v>7.9908675799086754E-3</c:v>
                </c:pt>
                <c:pt idx="13">
                  <c:v>1.5267175572519083E-2</c:v>
                </c:pt>
                <c:pt idx="14">
                  <c:v>4.065040650406504E-2</c:v>
                </c:pt>
                <c:pt idx="15">
                  <c:v>1.890359168241966E-2</c:v>
                </c:pt>
                <c:pt idx="16">
                  <c:v>3.9408866995073892E-2</c:v>
                </c:pt>
                <c:pt idx="17">
                  <c:v>4.3103448275862072E-2</c:v>
                </c:pt>
                <c:pt idx="18">
                  <c:v>9.5238095238095247E-3</c:v>
                </c:pt>
                <c:pt idx="19">
                  <c:v>5.8823529411764705E-2</c:v>
                </c:pt>
                <c:pt idx="20">
                  <c:v>6.0606060606060608E-2</c:v>
                </c:pt>
                <c:pt idx="21">
                  <c:v>5.128205128205128E-2</c:v>
                </c:pt>
                <c:pt idx="22">
                  <c:v>0</c:v>
                </c:pt>
                <c:pt idx="23">
                  <c:v>0</c:v>
                </c:pt>
                <c:pt idx="24">
                  <c:v>0</c:v>
                </c:pt>
              </c:numCache>
            </c:numRef>
          </c:val>
          <c:extLst>
            <c:ext xmlns:c16="http://schemas.microsoft.com/office/drawing/2014/chart" uri="{C3380CC4-5D6E-409C-BE32-E72D297353CC}">
              <c16:uniqueId val="{00000000-6153-47BF-9D82-571EB6291096}"/>
            </c:ext>
          </c:extLst>
        </c:ser>
        <c:ser>
          <c:idx val="1"/>
          <c:order val="1"/>
          <c:tx>
            <c:strRef>
              <c:f>Foglio2!$A$28</c:f>
              <c:strCache>
                <c:ptCount val="1"/>
                <c:pt idx="0">
                  <c:v>ORE AND STONE EXTRACTION</c:v>
                </c:pt>
              </c:strCache>
            </c:strRef>
          </c:tx>
          <c:spPr>
            <a:solidFill>
              <a:schemeClr val="accent2"/>
            </a:solidFill>
            <a:ln>
              <a:noFill/>
            </a:ln>
            <a:effectLst/>
          </c:spPr>
          <c:invertIfNegative val="0"/>
          <c:cat>
            <c:strRef>
              <c:f>Foglio2!$B$26:$Z$26</c:f>
              <c:strCache>
                <c:ptCount val="25"/>
                <c:pt idx="0">
                  <c:v>BERANE</c:v>
                </c:pt>
                <c:pt idx="1">
                  <c:v>CETINJE</c:v>
                </c:pt>
                <c:pt idx="2">
                  <c:v>PODGORICA</c:v>
                </c:pt>
                <c:pt idx="3">
                  <c:v>PLJEVLJA</c:v>
                </c:pt>
                <c:pt idx="4">
                  <c:v>BIJELO POLJE</c:v>
                </c:pt>
                <c:pt idx="5">
                  <c:v>NIKŠIĆ</c:v>
                </c:pt>
                <c:pt idx="6">
                  <c:v>HERCEG NOVI</c:v>
                </c:pt>
                <c:pt idx="7">
                  <c:v>BUDVA</c:v>
                </c:pt>
                <c:pt idx="8">
                  <c:v>TIVAT</c:v>
                </c:pt>
                <c:pt idx="9">
                  <c:v>BAR</c:v>
                </c:pt>
                <c:pt idx="10">
                  <c:v>TUZI</c:v>
                </c:pt>
                <c:pt idx="11">
                  <c:v>KOTOR</c:v>
                </c:pt>
                <c:pt idx="12">
                  <c:v>ULCINJ</c:v>
                </c:pt>
                <c:pt idx="13">
                  <c:v>MOJKOVAC</c:v>
                </c:pt>
                <c:pt idx="14">
                  <c:v>DANILOVGRAD</c:v>
                </c:pt>
                <c:pt idx="15">
                  <c:v>ROŽAJE</c:v>
                </c:pt>
                <c:pt idx="16">
                  <c:v>KOLAŠIN</c:v>
                </c:pt>
                <c:pt idx="17">
                  <c:v>PLJEVLJA</c:v>
                </c:pt>
                <c:pt idx="18">
                  <c:v>ŽABLJAK</c:v>
                </c:pt>
                <c:pt idx="19">
                  <c:v>ANDRIJEVICA</c:v>
                </c:pt>
                <c:pt idx="20">
                  <c:v>ŠAVNIK</c:v>
                </c:pt>
                <c:pt idx="21">
                  <c:v>PLUŽINE</c:v>
                </c:pt>
                <c:pt idx="22">
                  <c:v>GUSINJE</c:v>
                </c:pt>
                <c:pt idx="23">
                  <c:v>PETNJICA</c:v>
                </c:pt>
                <c:pt idx="24">
                  <c:v>ZETA</c:v>
                </c:pt>
              </c:strCache>
            </c:strRef>
          </c:cat>
          <c:val>
            <c:numRef>
              <c:f>Foglio2!$B$28:$Z$28</c:f>
              <c:numCache>
                <c:formatCode>0%</c:formatCode>
                <c:ptCount val="25"/>
                <c:pt idx="0">
                  <c:v>3.3277870216306157E-3</c:v>
                </c:pt>
                <c:pt idx="1">
                  <c:v>1.9455252918287938E-3</c:v>
                </c:pt>
                <c:pt idx="2">
                  <c:v>2.1385402138540213E-3</c:v>
                </c:pt>
                <c:pt idx="3">
                  <c:v>4.9916805324459234E-3</c:v>
                </c:pt>
                <c:pt idx="4">
                  <c:v>2.6292725679228747E-3</c:v>
                </c:pt>
                <c:pt idx="5">
                  <c:v>7.3917634635691657E-3</c:v>
                </c:pt>
                <c:pt idx="6">
                  <c:v>7.0947144377438804E-4</c:v>
                </c:pt>
                <c:pt idx="7">
                  <c:v>1.7421602787456446E-4</c:v>
                </c:pt>
                <c:pt idx="8">
                  <c:v>1.1229646266142617E-3</c:v>
                </c:pt>
                <c:pt idx="9">
                  <c:v>1.7610801291458762E-3</c:v>
                </c:pt>
                <c:pt idx="10">
                  <c:v>4.4444444444444444E-3</c:v>
                </c:pt>
                <c:pt idx="11">
                  <c:v>2.2710068130204391E-3</c:v>
                </c:pt>
                <c:pt idx="12">
                  <c:v>0</c:v>
                </c:pt>
                <c:pt idx="13">
                  <c:v>7.6335877862595417E-3</c:v>
                </c:pt>
                <c:pt idx="14">
                  <c:v>2.0325203252032522E-3</c:v>
                </c:pt>
                <c:pt idx="15">
                  <c:v>3.780718336483932E-3</c:v>
                </c:pt>
                <c:pt idx="16">
                  <c:v>0</c:v>
                </c:pt>
                <c:pt idx="17">
                  <c:v>0</c:v>
                </c:pt>
                <c:pt idx="18">
                  <c:v>0</c:v>
                </c:pt>
                <c:pt idx="19">
                  <c:v>0</c:v>
                </c:pt>
                <c:pt idx="20">
                  <c:v>0</c:v>
                </c:pt>
                <c:pt idx="21">
                  <c:v>0</c:v>
                </c:pt>
                <c:pt idx="22">
                  <c:v>9.0909090909090912E-2</c:v>
                </c:pt>
                <c:pt idx="23">
                  <c:v>0</c:v>
                </c:pt>
                <c:pt idx="24">
                  <c:v>0</c:v>
                </c:pt>
              </c:numCache>
            </c:numRef>
          </c:val>
          <c:extLst>
            <c:ext xmlns:c16="http://schemas.microsoft.com/office/drawing/2014/chart" uri="{C3380CC4-5D6E-409C-BE32-E72D297353CC}">
              <c16:uniqueId val="{00000001-6153-47BF-9D82-571EB6291096}"/>
            </c:ext>
          </c:extLst>
        </c:ser>
        <c:ser>
          <c:idx val="2"/>
          <c:order val="2"/>
          <c:tx>
            <c:strRef>
              <c:f>Foglio2!$A$29</c:f>
              <c:strCache>
                <c:ptCount val="1"/>
                <c:pt idx="0">
                  <c:v>MANUFACTURING INDUSTRY</c:v>
                </c:pt>
              </c:strCache>
            </c:strRef>
          </c:tx>
          <c:spPr>
            <a:solidFill>
              <a:schemeClr val="accent3"/>
            </a:solidFill>
            <a:ln>
              <a:noFill/>
            </a:ln>
            <a:effectLst/>
          </c:spPr>
          <c:invertIfNegative val="0"/>
          <c:cat>
            <c:strRef>
              <c:f>Foglio2!$B$26:$Z$26</c:f>
              <c:strCache>
                <c:ptCount val="25"/>
                <c:pt idx="0">
                  <c:v>BERANE</c:v>
                </c:pt>
                <c:pt idx="1">
                  <c:v>CETINJE</c:v>
                </c:pt>
                <c:pt idx="2">
                  <c:v>PODGORICA</c:v>
                </c:pt>
                <c:pt idx="3">
                  <c:v>PLJEVLJA</c:v>
                </c:pt>
                <c:pt idx="4">
                  <c:v>BIJELO POLJE</c:v>
                </c:pt>
                <c:pt idx="5">
                  <c:v>NIKŠIĆ</c:v>
                </c:pt>
                <c:pt idx="6">
                  <c:v>HERCEG NOVI</c:v>
                </c:pt>
                <c:pt idx="7">
                  <c:v>BUDVA</c:v>
                </c:pt>
                <c:pt idx="8">
                  <c:v>TIVAT</c:v>
                </c:pt>
                <c:pt idx="9">
                  <c:v>BAR</c:v>
                </c:pt>
                <c:pt idx="10">
                  <c:v>TUZI</c:v>
                </c:pt>
                <c:pt idx="11">
                  <c:v>KOTOR</c:v>
                </c:pt>
                <c:pt idx="12">
                  <c:v>ULCINJ</c:v>
                </c:pt>
                <c:pt idx="13">
                  <c:v>MOJKOVAC</c:v>
                </c:pt>
                <c:pt idx="14">
                  <c:v>DANILOVGRAD</c:v>
                </c:pt>
                <c:pt idx="15">
                  <c:v>ROŽAJE</c:v>
                </c:pt>
                <c:pt idx="16">
                  <c:v>KOLAŠIN</c:v>
                </c:pt>
                <c:pt idx="17">
                  <c:v>PLJEVLJA</c:v>
                </c:pt>
                <c:pt idx="18">
                  <c:v>ŽABLJAK</c:v>
                </c:pt>
                <c:pt idx="19">
                  <c:v>ANDRIJEVICA</c:v>
                </c:pt>
                <c:pt idx="20">
                  <c:v>ŠAVNIK</c:v>
                </c:pt>
                <c:pt idx="21">
                  <c:v>PLUŽINE</c:v>
                </c:pt>
                <c:pt idx="22">
                  <c:v>GUSINJE</c:v>
                </c:pt>
                <c:pt idx="23">
                  <c:v>PETNJICA</c:v>
                </c:pt>
                <c:pt idx="24">
                  <c:v>ZETA</c:v>
                </c:pt>
              </c:strCache>
            </c:strRef>
          </c:cat>
          <c:val>
            <c:numRef>
              <c:f>Foglio2!$B$29:$Z$29</c:f>
              <c:numCache>
                <c:formatCode>0%</c:formatCode>
                <c:ptCount val="25"/>
                <c:pt idx="0">
                  <c:v>0.13976705490848584</c:v>
                </c:pt>
                <c:pt idx="1">
                  <c:v>0.1245136186770428</c:v>
                </c:pt>
                <c:pt idx="2">
                  <c:v>5.6066945606694563E-2</c:v>
                </c:pt>
                <c:pt idx="3">
                  <c:v>0.13643926788685523</c:v>
                </c:pt>
                <c:pt idx="4">
                  <c:v>0.13935144609991235</c:v>
                </c:pt>
                <c:pt idx="5">
                  <c:v>0.10929250263991552</c:v>
                </c:pt>
                <c:pt idx="6">
                  <c:v>5.0372472507981554E-2</c:v>
                </c:pt>
                <c:pt idx="7">
                  <c:v>2.5435540069686412E-2</c:v>
                </c:pt>
                <c:pt idx="8">
                  <c:v>4.0988208871420552E-2</c:v>
                </c:pt>
                <c:pt idx="9">
                  <c:v>5.8115644261813912E-2</c:v>
                </c:pt>
                <c:pt idx="10">
                  <c:v>0.14222222222222222</c:v>
                </c:pt>
                <c:pt idx="11">
                  <c:v>4.7691143073429219E-2</c:v>
                </c:pt>
                <c:pt idx="12">
                  <c:v>9.2465753424657529E-2</c:v>
                </c:pt>
                <c:pt idx="13">
                  <c:v>0.19083969465648856</c:v>
                </c:pt>
                <c:pt idx="14">
                  <c:v>0.17276422764227642</c:v>
                </c:pt>
                <c:pt idx="15">
                  <c:v>0.25708884688090738</c:v>
                </c:pt>
                <c:pt idx="16">
                  <c:v>0.10344827586206896</c:v>
                </c:pt>
                <c:pt idx="17">
                  <c:v>6.8965517241379309E-2</c:v>
                </c:pt>
                <c:pt idx="18">
                  <c:v>0.13333333333333333</c:v>
                </c:pt>
                <c:pt idx="19">
                  <c:v>0.23529411764705882</c:v>
                </c:pt>
                <c:pt idx="20">
                  <c:v>0.15151515151515152</c:v>
                </c:pt>
                <c:pt idx="21">
                  <c:v>7.6923076923076927E-2</c:v>
                </c:pt>
                <c:pt idx="22">
                  <c:v>4.5454545454545456E-2</c:v>
                </c:pt>
                <c:pt idx="23">
                  <c:v>0.33333333333333331</c:v>
                </c:pt>
                <c:pt idx="24">
                  <c:v>0</c:v>
                </c:pt>
              </c:numCache>
            </c:numRef>
          </c:val>
          <c:extLst>
            <c:ext xmlns:c16="http://schemas.microsoft.com/office/drawing/2014/chart" uri="{C3380CC4-5D6E-409C-BE32-E72D297353CC}">
              <c16:uniqueId val="{00000002-6153-47BF-9D82-571EB6291096}"/>
            </c:ext>
          </c:extLst>
        </c:ser>
        <c:ser>
          <c:idx val="3"/>
          <c:order val="3"/>
          <c:tx>
            <c:strRef>
              <c:f>Foglio2!$A$30</c:f>
              <c:strCache>
                <c:ptCount val="1"/>
                <c:pt idx="0">
                  <c:v>SUPPLY OF ELECTRICAL ENERGY, GAS AND STEAM</c:v>
                </c:pt>
              </c:strCache>
            </c:strRef>
          </c:tx>
          <c:spPr>
            <a:solidFill>
              <a:schemeClr val="accent4"/>
            </a:solidFill>
            <a:ln>
              <a:noFill/>
            </a:ln>
            <a:effectLst/>
          </c:spPr>
          <c:invertIfNegative val="0"/>
          <c:cat>
            <c:strRef>
              <c:f>Foglio2!$B$26:$Z$26</c:f>
              <c:strCache>
                <c:ptCount val="25"/>
                <c:pt idx="0">
                  <c:v>BERANE</c:v>
                </c:pt>
                <c:pt idx="1">
                  <c:v>CETINJE</c:v>
                </c:pt>
                <c:pt idx="2">
                  <c:v>PODGORICA</c:v>
                </c:pt>
                <c:pt idx="3">
                  <c:v>PLJEVLJA</c:v>
                </c:pt>
                <c:pt idx="4">
                  <c:v>BIJELO POLJE</c:v>
                </c:pt>
                <c:pt idx="5">
                  <c:v>NIKŠIĆ</c:v>
                </c:pt>
                <c:pt idx="6">
                  <c:v>HERCEG NOVI</c:v>
                </c:pt>
                <c:pt idx="7">
                  <c:v>BUDVA</c:v>
                </c:pt>
                <c:pt idx="8">
                  <c:v>TIVAT</c:v>
                </c:pt>
                <c:pt idx="9">
                  <c:v>BAR</c:v>
                </c:pt>
                <c:pt idx="10">
                  <c:v>TUZI</c:v>
                </c:pt>
                <c:pt idx="11">
                  <c:v>KOTOR</c:v>
                </c:pt>
                <c:pt idx="12">
                  <c:v>ULCINJ</c:v>
                </c:pt>
                <c:pt idx="13">
                  <c:v>MOJKOVAC</c:v>
                </c:pt>
                <c:pt idx="14">
                  <c:v>DANILOVGRAD</c:v>
                </c:pt>
                <c:pt idx="15">
                  <c:v>ROŽAJE</c:v>
                </c:pt>
                <c:pt idx="16">
                  <c:v>KOLAŠIN</c:v>
                </c:pt>
                <c:pt idx="17">
                  <c:v>PLJEVLJA</c:v>
                </c:pt>
                <c:pt idx="18">
                  <c:v>ŽABLJAK</c:v>
                </c:pt>
                <c:pt idx="19">
                  <c:v>ANDRIJEVICA</c:v>
                </c:pt>
                <c:pt idx="20">
                  <c:v>ŠAVNIK</c:v>
                </c:pt>
                <c:pt idx="21">
                  <c:v>PLUŽINE</c:v>
                </c:pt>
                <c:pt idx="22">
                  <c:v>GUSINJE</c:v>
                </c:pt>
                <c:pt idx="23">
                  <c:v>PETNJICA</c:v>
                </c:pt>
                <c:pt idx="24">
                  <c:v>ZETA</c:v>
                </c:pt>
              </c:strCache>
            </c:strRef>
          </c:cat>
          <c:val>
            <c:numRef>
              <c:f>Foglio2!$B$30:$Z$30</c:f>
              <c:numCache>
                <c:formatCode>0%</c:formatCode>
                <c:ptCount val="25"/>
                <c:pt idx="0">
                  <c:v>8.3194675540765387E-3</c:v>
                </c:pt>
                <c:pt idx="1">
                  <c:v>0</c:v>
                </c:pt>
                <c:pt idx="2">
                  <c:v>5.9507205950720598E-3</c:v>
                </c:pt>
                <c:pt idx="3">
                  <c:v>1.6638935108153079E-3</c:v>
                </c:pt>
                <c:pt idx="4">
                  <c:v>2.6292725679228747E-3</c:v>
                </c:pt>
                <c:pt idx="5">
                  <c:v>1.5839493136219642E-3</c:v>
                </c:pt>
                <c:pt idx="6">
                  <c:v>7.0947144377438804E-4</c:v>
                </c:pt>
                <c:pt idx="7">
                  <c:v>8.710801393728223E-4</c:v>
                </c:pt>
                <c:pt idx="8">
                  <c:v>2.807411566535654E-3</c:v>
                </c:pt>
                <c:pt idx="9">
                  <c:v>8.8054006457293811E-4</c:v>
                </c:pt>
                <c:pt idx="10">
                  <c:v>0</c:v>
                </c:pt>
                <c:pt idx="11">
                  <c:v>7.5700227100681302E-4</c:v>
                </c:pt>
                <c:pt idx="12">
                  <c:v>1.1415525114155251E-3</c:v>
                </c:pt>
                <c:pt idx="13">
                  <c:v>1.5267175572519083E-2</c:v>
                </c:pt>
                <c:pt idx="14">
                  <c:v>4.0650406504065045E-3</c:v>
                </c:pt>
                <c:pt idx="15">
                  <c:v>0</c:v>
                </c:pt>
                <c:pt idx="16">
                  <c:v>1.4778325123152709E-2</c:v>
                </c:pt>
                <c:pt idx="17">
                  <c:v>0</c:v>
                </c:pt>
                <c:pt idx="18">
                  <c:v>0</c:v>
                </c:pt>
                <c:pt idx="19">
                  <c:v>7.3529411764705885E-2</c:v>
                </c:pt>
                <c:pt idx="20">
                  <c:v>3.0303030303030304E-2</c:v>
                </c:pt>
                <c:pt idx="21">
                  <c:v>0</c:v>
                </c:pt>
                <c:pt idx="22">
                  <c:v>0</c:v>
                </c:pt>
                <c:pt idx="23">
                  <c:v>0</c:v>
                </c:pt>
                <c:pt idx="24">
                  <c:v>0</c:v>
                </c:pt>
              </c:numCache>
            </c:numRef>
          </c:val>
          <c:extLst>
            <c:ext xmlns:c16="http://schemas.microsoft.com/office/drawing/2014/chart" uri="{C3380CC4-5D6E-409C-BE32-E72D297353CC}">
              <c16:uniqueId val="{00000003-6153-47BF-9D82-571EB6291096}"/>
            </c:ext>
          </c:extLst>
        </c:ser>
        <c:ser>
          <c:idx val="4"/>
          <c:order val="4"/>
          <c:tx>
            <c:strRef>
              <c:f>Foglio2!$A$31</c:f>
              <c:strCache>
                <c:ptCount val="1"/>
                <c:pt idx="0">
                  <c:v>WATER SUPPLY, WASTEWATER MANAGEMENT</c:v>
                </c:pt>
              </c:strCache>
            </c:strRef>
          </c:tx>
          <c:spPr>
            <a:solidFill>
              <a:schemeClr val="accent5"/>
            </a:solidFill>
            <a:ln>
              <a:noFill/>
            </a:ln>
            <a:effectLst/>
          </c:spPr>
          <c:invertIfNegative val="0"/>
          <c:cat>
            <c:strRef>
              <c:f>Foglio2!$B$26:$Z$26</c:f>
              <c:strCache>
                <c:ptCount val="25"/>
                <c:pt idx="0">
                  <c:v>BERANE</c:v>
                </c:pt>
                <c:pt idx="1">
                  <c:v>CETINJE</c:v>
                </c:pt>
                <c:pt idx="2">
                  <c:v>PODGORICA</c:v>
                </c:pt>
                <c:pt idx="3">
                  <c:v>PLJEVLJA</c:v>
                </c:pt>
                <c:pt idx="4">
                  <c:v>BIJELO POLJE</c:v>
                </c:pt>
                <c:pt idx="5">
                  <c:v>NIKŠIĆ</c:v>
                </c:pt>
                <c:pt idx="6">
                  <c:v>HERCEG NOVI</c:v>
                </c:pt>
                <c:pt idx="7">
                  <c:v>BUDVA</c:v>
                </c:pt>
                <c:pt idx="8">
                  <c:v>TIVAT</c:v>
                </c:pt>
                <c:pt idx="9">
                  <c:v>BAR</c:v>
                </c:pt>
                <c:pt idx="10">
                  <c:v>TUZI</c:v>
                </c:pt>
                <c:pt idx="11">
                  <c:v>KOTOR</c:v>
                </c:pt>
                <c:pt idx="12">
                  <c:v>ULCINJ</c:v>
                </c:pt>
                <c:pt idx="13">
                  <c:v>MOJKOVAC</c:v>
                </c:pt>
                <c:pt idx="14">
                  <c:v>DANILOVGRAD</c:v>
                </c:pt>
                <c:pt idx="15">
                  <c:v>ROŽAJE</c:v>
                </c:pt>
                <c:pt idx="16">
                  <c:v>KOLAŠIN</c:v>
                </c:pt>
                <c:pt idx="17">
                  <c:v>PLJEVLJA</c:v>
                </c:pt>
                <c:pt idx="18">
                  <c:v>ŽABLJAK</c:v>
                </c:pt>
                <c:pt idx="19">
                  <c:v>ANDRIJEVICA</c:v>
                </c:pt>
                <c:pt idx="20">
                  <c:v>ŠAVNIK</c:v>
                </c:pt>
                <c:pt idx="21">
                  <c:v>PLUŽINE</c:v>
                </c:pt>
                <c:pt idx="22">
                  <c:v>GUSINJE</c:v>
                </c:pt>
                <c:pt idx="23">
                  <c:v>PETNJICA</c:v>
                </c:pt>
                <c:pt idx="24">
                  <c:v>ZETA</c:v>
                </c:pt>
              </c:strCache>
            </c:strRef>
          </c:cat>
          <c:val>
            <c:numRef>
              <c:f>Foglio2!$B$31:$Z$31</c:f>
              <c:numCache>
                <c:formatCode>0%</c:formatCode>
                <c:ptCount val="25"/>
                <c:pt idx="0">
                  <c:v>6.6555740432612314E-3</c:v>
                </c:pt>
                <c:pt idx="1">
                  <c:v>3.8910505836575876E-3</c:v>
                </c:pt>
                <c:pt idx="2">
                  <c:v>2.1385402138540213E-3</c:v>
                </c:pt>
                <c:pt idx="3">
                  <c:v>3.3277870216306157E-3</c:v>
                </c:pt>
                <c:pt idx="4">
                  <c:v>2.6292725679228747E-3</c:v>
                </c:pt>
                <c:pt idx="5">
                  <c:v>6.3357972544878568E-3</c:v>
                </c:pt>
                <c:pt idx="6">
                  <c:v>1.7736786094359701E-3</c:v>
                </c:pt>
                <c:pt idx="7">
                  <c:v>1.5679442508710801E-3</c:v>
                </c:pt>
                <c:pt idx="8">
                  <c:v>4.4918585064570469E-3</c:v>
                </c:pt>
                <c:pt idx="9">
                  <c:v>3.5221602582917524E-3</c:v>
                </c:pt>
                <c:pt idx="10">
                  <c:v>1.3333333333333334E-2</c:v>
                </c:pt>
                <c:pt idx="11">
                  <c:v>3.0280090840272521E-3</c:v>
                </c:pt>
                <c:pt idx="12">
                  <c:v>2.2831050228310501E-3</c:v>
                </c:pt>
                <c:pt idx="13">
                  <c:v>7.6335877862595417E-3</c:v>
                </c:pt>
                <c:pt idx="14">
                  <c:v>4.0650406504065045E-3</c:v>
                </c:pt>
                <c:pt idx="15">
                  <c:v>5.6710775047258983E-3</c:v>
                </c:pt>
                <c:pt idx="16">
                  <c:v>2.4630541871921183E-2</c:v>
                </c:pt>
                <c:pt idx="17">
                  <c:v>8.6206896551724137E-3</c:v>
                </c:pt>
                <c:pt idx="18">
                  <c:v>9.5238095238095247E-3</c:v>
                </c:pt>
                <c:pt idx="19">
                  <c:v>2.9411764705882353E-2</c:v>
                </c:pt>
                <c:pt idx="20">
                  <c:v>3.0303030303030304E-2</c:v>
                </c:pt>
                <c:pt idx="21">
                  <c:v>2.564102564102564E-2</c:v>
                </c:pt>
                <c:pt idx="22">
                  <c:v>4.5454545454545456E-2</c:v>
                </c:pt>
                <c:pt idx="23">
                  <c:v>3.0303030303030304E-2</c:v>
                </c:pt>
                <c:pt idx="24">
                  <c:v>0</c:v>
                </c:pt>
              </c:numCache>
            </c:numRef>
          </c:val>
          <c:extLst>
            <c:ext xmlns:c16="http://schemas.microsoft.com/office/drawing/2014/chart" uri="{C3380CC4-5D6E-409C-BE32-E72D297353CC}">
              <c16:uniqueId val="{00000004-6153-47BF-9D82-571EB6291096}"/>
            </c:ext>
          </c:extLst>
        </c:ser>
        <c:ser>
          <c:idx val="5"/>
          <c:order val="5"/>
          <c:tx>
            <c:strRef>
              <c:f>Foglio2!$A$32</c:f>
              <c:strCache>
                <c:ptCount val="1"/>
                <c:pt idx="0">
                  <c:v>CONSTRUCTION</c:v>
                </c:pt>
              </c:strCache>
            </c:strRef>
          </c:tx>
          <c:spPr>
            <a:solidFill>
              <a:schemeClr val="accent6"/>
            </a:solidFill>
            <a:ln>
              <a:noFill/>
            </a:ln>
            <a:effectLst/>
          </c:spPr>
          <c:invertIfNegative val="0"/>
          <c:cat>
            <c:strRef>
              <c:f>Foglio2!$B$26:$Z$26</c:f>
              <c:strCache>
                <c:ptCount val="25"/>
                <c:pt idx="0">
                  <c:v>BERANE</c:v>
                </c:pt>
                <c:pt idx="1">
                  <c:v>CETINJE</c:v>
                </c:pt>
                <c:pt idx="2">
                  <c:v>PODGORICA</c:v>
                </c:pt>
                <c:pt idx="3">
                  <c:v>PLJEVLJA</c:v>
                </c:pt>
                <c:pt idx="4">
                  <c:v>BIJELO POLJE</c:v>
                </c:pt>
                <c:pt idx="5">
                  <c:v>NIKŠIĆ</c:v>
                </c:pt>
                <c:pt idx="6">
                  <c:v>HERCEG NOVI</c:v>
                </c:pt>
                <c:pt idx="7">
                  <c:v>BUDVA</c:v>
                </c:pt>
                <c:pt idx="8">
                  <c:v>TIVAT</c:v>
                </c:pt>
                <c:pt idx="9">
                  <c:v>BAR</c:v>
                </c:pt>
                <c:pt idx="10">
                  <c:v>TUZI</c:v>
                </c:pt>
                <c:pt idx="11">
                  <c:v>KOTOR</c:v>
                </c:pt>
                <c:pt idx="12">
                  <c:v>ULCINJ</c:v>
                </c:pt>
                <c:pt idx="13">
                  <c:v>MOJKOVAC</c:v>
                </c:pt>
                <c:pt idx="14">
                  <c:v>DANILOVGRAD</c:v>
                </c:pt>
                <c:pt idx="15">
                  <c:v>ROŽAJE</c:v>
                </c:pt>
                <c:pt idx="16">
                  <c:v>KOLAŠIN</c:v>
                </c:pt>
                <c:pt idx="17">
                  <c:v>PLJEVLJA</c:v>
                </c:pt>
                <c:pt idx="18">
                  <c:v>ŽABLJAK</c:v>
                </c:pt>
                <c:pt idx="19">
                  <c:v>ANDRIJEVICA</c:v>
                </c:pt>
                <c:pt idx="20">
                  <c:v>ŠAVNIK</c:v>
                </c:pt>
                <c:pt idx="21">
                  <c:v>PLUŽINE</c:v>
                </c:pt>
                <c:pt idx="22">
                  <c:v>GUSINJE</c:v>
                </c:pt>
                <c:pt idx="23">
                  <c:v>PETNJICA</c:v>
                </c:pt>
                <c:pt idx="24">
                  <c:v>ZETA</c:v>
                </c:pt>
              </c:strCache>
            </c:strRef>
          </c:cat>
          <c:val>
            <c:numRef>
              <c:f>Foglio2!$B$32:$Z$32</c:f>
              <c:numCache>
                <c:formatCode>0%</c:formatCode>
                <c:ptCount val="25"/>
                <c:pt idx="0">
                  <c:v>7.3211314475873548E-2</c:v>
                </c:pt>
                <c:pt idx="1">
                  <c:v>5.4474708171206226E-2</c:v>
                </c:pt>
                <c:pt idx="2">
                  <c:v>0.10246397024639703</c:v>
                </c:pt>
                <c:pt idx="3">
                  <c:v>5.9900166389351084E-2</c:v>
                </c:pt>
                <c:pt idx="4">
                  <c:v>0.10780017528483786</c:v>
                </c:pt>
                <c:pt idx="5">
                  <c:v>0.11034846884899684</c:v>
                </c:pt>
                <c:pt idx="6">
                  <c:v>9.0457609081234486E-2</c:v>
                </c:pt>
                <c:pt idx="7">
                  <c:v>0.11655052264808362</c:v>
                </c:pt>
                <c:pt idx="8">
                  <c:v>0.11959573273441887</c:v>
                </c:pt>
                <c:pt idx="9">
                  <c:v>9.9207513941884359E-2</c:v>
                </c:pt>
                <c:pt idx="10">
                  <c:v>0.15111111111111111</c:v>
                </c:pt>
                <c:pt idx="11">
                  <c:v>7.1158213474640422E-2</c:v>
                </c:pt>
                <c:pt idx="12">
                  <c:v>0.14726027397260275</c:v>
                </c:pt>
                <c:pt idx="13">
                  <c:v>5.3435114503816793E-2</c:v>
                </c:pt>
                <c:pt idx="14">
                  <c:v>0.11788617886178862</c:v>
                </c:pt>
                <c:pt idx="15">
                  <c:v>6.6162570888468802E-2</c:v>
                </c:pt>
                <c:pt idx="16">
                  <c:v>8.3743842364532015E-2</c:v>
                </c:pt>
                <c:pt idx="17">
                  <c:v>8.6206896551724144E-2</c:v>
                </c:pt>
                <c:pt idx="18">
                  <c:v>6.6666666666666666E-2</c:v>
                </c:pt>
                <c:pt idx="19">
                  <c:v>2.9411764705882353E-2</c:v>
                </c:pt>
                <c:pt idx="20">
                  <c:v>3.0303030303030304E-2</c:v>
                </c:pt>
                <c:pt idx="21">
                  <c:v>5.128205128205128E-2</c:v>
                </c:pt>
                <c:pt idx="22">
                  <c:v>0.18181818181818182</c:v>
                </c:pt>
                <c:pt idx="23">
                  <c:v>9.0909090909090912E-2</c:v>
                </c:pt>
                <c:pt idx="24">
                  <c:v>6.25E-2</c:v>
                </c:pt>
              </c:numCache>
            </c:numRef>
          </c:val>
          <c:extLst>
            <c:ext xmlns:c16="http://schemas.microsoft.com/office/drawing/2014/chart" uri="{C3380CC4-5D6E-409C-BE32-E72D297353CC}">
              <c16:uniqueId val="{00000005-6153-47BF-9D82-571EB6291096}"/>
            </c:ext>
          </c:extLst>
        </c:ser>
        <c:ser>
          <c:idx val="6"/>
          <c:order val="6"/>
          <c:tx>
            <c:strRef>
              <c:f>Foglio2!$A$33</c:f>
              <c:strCache>
                <c:ptCount val="1"/>
                <c:pt idx="0">
                  <c:v>WHOLESALE AND RETAIL TRADE AND REPAIR OF MOTOR VEHICLES AND MOTORCYCLES</c:v>
                </c:pt>
              </c:strCache>
            </c:strRef>
          </c:tx>
          <c:spPr>
            <a:solidFill>
              <a:schemeClr val="accent1">
                <a:lumMod val="60000"/>
              </a:schemeClr>
            </a:solidFill>
            <a:ln>
              <a:noFill/>
            </a:ln>
            <a:effectLst/>
          </c:spPr>
          <c:invertIfNegative val="0"/>
          <c:cat>
            <c:strRef>
              <c:f>Foglio2!$B$26:$Z$26</c:f>
              <c:strCache>
                <c:ptCount val="25"/>
                <c:pt idx="0">
                  <c:v>BERANE</c:v>
                </c:pt>
                <c:pt idx="1">
                  <c:v>CETINJE</c:v>
                </c:pt>
                <c:pt idx="2">
                  <c:v>PODGORICA</c:v>
                </c:pt>
                <c:pt idx="3">
                  <c:v>PLJEVLJA</c:v>
                </c:pt>
                <c:pt idx="4">
                  <c:v>BIJELO POLJE</c:v>
                </c:pt>
                <c:pt idx="5">
                  <c:v>NIKŠIĆ</c:v>
                </c:pt>
                <c:pt idx="6">
                  <c:v>HERCEG NOVI</c:v>
                </c:pt>
                <c:pt idx="7">
                  <c:v>BUDVA</c:v>
                </c:pt>
                <c:pt idx="8">
                  <c:v>TIVAT</c:v>
                </c:pt>
                <c:pt idx="9">
                  <c:v>BAR</c:v>
                </c:pt>
                <c:pt idx="10">
                  <c:v>TUZI</c:v>
                </c:pt>
                <c:pt idx="11">
                  <c:v>KOTOR</c:v>
                </c:pt>
                <c:pt idx="12">
                  <c:v>ULCINJ</c:v>
                </c:pt>
                <c:pt idx="13">
                  <c:v>MOJKOVAC</c:v>
                </c:pt>
                <c:pt idx="14">
                  <c:v>DANILOVGRAD</c:v>
                </c:pt>
                <c:pt idx="15">
                  <c:v>ROŽAJE</c:v>
                </c:pt>
                <c:pt idx="16">
                  <c:v>KOLAŠIN</c:v>
                </c:pt>
                <c:pt idx="17">
                  <c:v>PLJEVLJA</c:v>
                </c:pt>
                <c:pt idx="18">
                  <c:v>ŽABLJAK</c:v>
                </c:pt>
                <c:pt idx="19">
                  <c:v>ANDRIJEVICA</c:v>
                </c:pt>
                <c:pt idx="20">
                  <c:v>ŠAVNIK</c:v>
                </c:pt>
                <c:pt idx="21">
                  <c:v>PLUŽINE</c:v>
                </c:pt>
                <c:pt idx="22">
                  <c:v>GUSINJE</c:v>
                </c:pt>
                <c:pt idx="23">
                  <c:v>PETNJICA</c:v>
                </c:pt>
                <c:pt idx="24">
                  <c:v>ZETA</c:v>
                </c:pt>
              </c:strCache>
            </c:strRef>
          </c:cat>
          <c:val>
            <c:numRef>
              <c:f>Foglio2!$B$33:$Z$33</c:f>
              <c:numCache>
                <c:formatCode>0%</c:formatCode>
                <c:ptCount val="25"/>
                <c:pt idx="0">
                  <c:v>0.28286189683860236</c:v>
                </c:pt>
                <c:pt idx="1">
                  <c:v>0.29961089494163423</c:v>
                </c:pt>
                <c:pt idx="2">
                  <c:v>0.2411901441190144</c:v>
                </c:pt>
                <c:pt idx="3">
                  <c:v>0.35274542429284528</c:v>
                </c:pt>
                <c:pt idx="4">
                  <c:v>0.24627519719544261</c:v>
                </c:pt>
                <c:pt idx="5">
                  <c:v>0.28775079197465681</c:v>
                </c:pt>
                <c:pt idx="6">
                  <c:v>0.18304363249379213</c:v>
                </c:pt>
                <c:pt idx="7">
                  <c:v>0.19128919860627178</c:v>
                </c:pt>
                <c:pt idx="8">
                  <c:v>0.14823133071308253</c:v>
                </c:pt>
                <c:pt idx="9">
                  <c:v>0.21514528911065453</c:v>
                </c:pt>
                <c:pt idx="10">
                  <c:v>0.38666666666666666</c:v>
                </c:pt>
                <c:pt idx="11">
                  <c:v>0.20439061317183951</c:v>
                </c:pt>
                <c:pt idx="12">
                  <c:v>0.24315068493150685</c:v>
                </c:pt>
                <c:pt idx="13">
                  <c:v>0.3282442748091603</c:v>
                </c:pt>
                <c:pt idx="14">
                  <c:v>0.26016260162601629</c:v>
                </c:pt>
                <c:pt idx="15">
                  <c:v>0.25897920604914931</c:v>
                </c:pt>
                <c:pt idx="16">
                  <c:v>0.18226600985221675</c:v>
                </c:pt>
                <c:pt idx="17">
                  <c:v>0.30172413793103448</c:v>
                </c:pt>
                <c:pt idx="18">
                  <c:v>0.14285714285714285</c:v>
                </c:pt>
                <c:pt idx="19">
                  <c:v>0.22058823529411764</c:v>
                </c:pt>
                <c:pt idx="20">
                  <c:v>0.12121212121212122</c:v>
                </c:pt>
                <c:pt idx="21">
                  <c:v>0.15384615384615385</c:v>
                </c:pt>
                <c:pt idx="22">
                  <c:v>0.22727272727272727</c:v>
                </c:pt>
                <c:pt idx="23">
                  <c:v>0.21212121212121213</c:v>
                </c:pt>
                <c:pt idx="24">
                  <c:v>0.25</c:v>
                </c:pt>
              </c:numCache>
            </c:numRef>
          </c:val>
          <c:extLst>
            <c:ext xmlns:c16="http://schemas.microsoft.com/office/drawing/2014/chart" uri="{C3380CC4-5D6E-409C-BE32-E72D297353CC}">
              <c16:uniqueId val="{00000006-6153-47BF-9D82-571EB6291096}"/>
            </c:ext>
          </c:extLst>
        </c:ser>
        <c:ser>
          <c:idx val="7"/>
          <c:order val="7"/>
          <c:tx>
            <c:strRef>
              <c:f>Foglio2!$A$34</c:f>
              <c:strCache>
                <c:ptCount val="1"/>
                <c:pt idx="0">
                  <c:v>TRANSPORT AND STORAGE</c:v>
                </c:pt>
              </c:strCache>
            </c:strRef>
          </c:tx>
          <c:spPr>
            <a:solidFill>
              <a:schemeClr val="accent2">
                <a:lumMod val="60000"/>
              </a:schemeClr>
            </a:solidFill>
            <a:ln>
              <a:noFill/>
            </a:ln>
            <a:effectLst/>
          </c:spPr>
          <c:invertIfNegative val="0"/>
          <c:cat>
            <c:strRef>
              <c:f>Foglio2!$B$26:$Z$26</c:f>
              <c:strCache>
                <c:ptCount val="25"/>
                <c:pt idx="0">
                  <c:v>BERANE</c:v>
                </c:pt>
                <c:pt idx="1">
                  <c:v>CETINJE</c:v>
                </c:pt>
                <c:pt idx="2">
                  <c:v>PODGORICA</c:v>
                </c:pt>
                <c:pt idx="3">
                  <c:v>PLJEVLJA</c:v>
                </c:pt>
                <c:pt idx="4">
                  <c:v>BIJELO POLJE</c:v>
                </c:pt>
                <c:pt idx="5">
                  <c:v>NIKŠIĆ</c:v>
                </c:pt>
                <c:pt idx="6">
                  <c:v>HERCEG NOVI</c:v>
                </c:pt>
                <c:pt idx="7">
                  <c:v>BUDVA</c:v>
                </c:pt>
                <c:pt idx="8">
                  <c:v>TIVAT</c:v>
                </c:pt>
                <c:pt idx="9">
                  <c:v>BAR</c:v>
                </c:pt>
                <c:pt idx="10">
                  <c:v>TUZI</c:v>
                </c:pt>
                <c:pt idx="11">
                  <c:v>KOTOR</c:v>
                </c:pt>
                <c:pt idx="12">
                  <c:v>ULCINJ</c:v>
                </c:pt>
                <c:pt idx="13">
                  <c:v>MOJKOVAC</c:v>
                </c:pt>
                <c:pt idx="14">
                  <c:v>DANILOVGRAD</c:v>
                </c:pt>
                <c:pt idx="15">
                  <c:v>ROŽAJE</c:v>
                </c:pt>
                <c:pt idx="16">
                  <c:v>KOLAŠIN</c:v>
                </c:pt>
                <c:pt idx="17">
                  <c:v>PLJEVLJA</c:v>
                </c:pt>
                <c:pt idx="18">
                  <c:v>ŽABLJAK</c:v>
                </c:pt>
                <c:pt idx="19">
                  <c:v>ANDRIJEVICA</c:v>
                </c:pt>
                <c:pt idx="20">
                  <c:v>ŠAVNIK</c:v>
                </c:pt>
                <c:pt idx="21">
                  <c:v>PLUŽINE</c:v>
                </c:pt>
                <c:pt idx="22">
                  <c:v>GUSINJE</c:v>
                </c:pt>
                <c:pt idx="23">
                  <c:v>PETNJICA</c:v>
                </c:pt>
                <c:pt idx="24">
                  <c:v>ZETA</c:v>
                </c:pt>
              </c:strCache>
            </c:strRef>
          </c:cat>
          <c:val>
            <c:numRef>
              <c:f>Foglio2!$B$34:$Z$34</c:f>
              <c:numCache>
                <c:formatCode>0%</c:formatCode>
                <c:ptCount val="25"/>
                <c:pt idx="0">
                  <c:v>5.4908485856905158E-2</c:v>
                </c:pt>
                <c:pt idx="1">
                  <c:v>7.1984435797665364E-2</c:v>
                </c:pt>
                <c:pt idx="2">
                  <c:v>4.081822408182241E-2</c:v>
                </c:pt>
                <c:pt idx="3">
                  <c:v>9.1514143094841932E-2</c:v>
                </c:pt>
                <c:pt idx="4">
                  <c:v>7.0990359333917619E-2</c:v>
                </c:pt>
                <c:pt idx="5">
                  <c:v>9.2397043294614567E-2</c:v>
                </c:pt>
                <c:pt idx="6">
                  <c:v>3.2280950691734658E-2</c:v>
                </c:pt>
                <c:pt idx="7">
                  <c:v>2.2125435540069686E-2</c:v>
                </c:pt>
                <c:pt idx="8">
                  <c:v>4.9971925884334641E-2</c:v>
                </c:pt>
                <c:pt idx="9">
                  <c:v>5.6648077487525685E-2</c:v>
                </c:pt>
                <c:pt idx="10">
                  <c:v>2.6666666666666668E-2</c:v>
                </c:pt>
                <c:pt idx="11">
                  <c:v>8.0242240726722175E-2</c:v>
                </c:pt>
                <c:pt idx="12">
                  <c:v>2.5114155251141551E-2</c:v>
                </c:pt>
                <c:pt idx="13">
                  <c:v>7.6335877862595422E-2</c:v>
                </c:pt>
                <c:pt idx="14">
                  <c:v>7.5203252032520332E-2</c:v>
                </c:pt>
                <c:pt idx="15">
                  <c:v>0.13043478260869565</c:v>
                </c:pt>
                <c:pt idx="16">
                  <c:v>2.9556650246305417E-2</c:v>
                </c:pt>
                <c:pt idx="17">
                  <c:v>8.6206896551724144E-2</c:v>
                </c:pt>
                <c:pt idx="18">
                  <c:v>4.7619047619047616E-2</c:v>
                </c:pt>
                <c:pt idx="19">
                  <c:v>2.9411764705882353E-2</c:v>
                </c:pt>
                <c:pt idx="20">
                  <c:v>9.0909090909090912E-2</c:v>
                </c:pt>
                <c:pt idx="21">
                  <c:v>7.6923076923076927E-2</c:v>
                </c:pt>
                <c:pt idx="22">
                  <c:v>0</c:v>
                </c:pt>
                <c:pt idx="23">
                  <c:v>6.0606060606060608E-2</c:v>
                </c:pt>
                <c:pt idx="24">
                  <c:v>0.125</c:v>
                </c:pt>
              </c:numCache>
            </c:numRef>
          </c:val>
          <c:extLst>
            <c:ext xmlns:c16="http://schemas.microsoft.com/office/drawing/2014/chart" uri="{C3380CC4-5D6E-409C-BE32-E72D297353CC}">
              <c16:uniqueId val="{00000007-6153-47BF-9D82-571EB6291096}"/>
            </c:ext>
          </c:extLst>
        </c:ser>
        <c:ser>
          <c:idx val="8"/>
          <c:order val="8"/>
          <c:tx>
            <c:strRef>
              <c:f>Foglio2!$A$35</c:f>
              <c:strCache>
                <c:ptCount val="1"/>
                <c:pt idx="0">
                  <c:v> ACCOMMODATION AND FOOD SERVICES</c:v>
                </c:pt>
              </c:strCache>
            </c:strRef>
          </c:tx>
          <c:spPr>
            <a:solidFill>
              <a:schemeClr val="accent3">
                <a:lumMod val="60000"/>
              </a:schemeClr>
            </a:solidFill>
            <a:ln>
              <a:noFill/>
            </a:ln>
            <a:effectLst/>
          </c:spPr>
          <c:invertIfNegative val="0"/>
          <c:cat>
            <c:strRef>
              <c:f>Foglio2!$B$26:$Z$26</c:f>
              <c:strCache>
                <c:ptCount val="25"/>
                <c:pt idx="0">
                  <c:v>BERANE</c:v>
                </c:pt>
                <c:pt idx="1">
                  <c:v>CETINJE</c:v>
                </c:pt>
                <c:pt idx="2">
                  <c:v>PODGORICA</c:v>
                </c:pt>
                <c:pt idx="3">
                  <c:v>PLJEVLJA</c:v>
                </c:pt>
                <c:pt idx="4">
                  <c:v>BIJELO POLJE</c:v>
                </c:pt>
                <c:pt idx="5">
                  <c:v>NIKŠIĆ</c:v>
                </c:pt>
                <c:pt idx="6">
                  <c:v>HERCEG NOVI</c:v>
                </c:pt>
                <c:pt idx="7">
                  <c:v>BUDVA</c:v>
                </c:pt>
                <c:pt idx="8">
                  <c:v>TIVAT</c:v>
                </c:pt>
                <c:pt idx="9">
                  <c:v>BAR</c:v>
                </c:pt>
                <c:pt idx="10">
                  <c:v>TUZI</c:v>
                </c:pt>
                <c:pt idx="11">
                  <c:v>KOTOR</c:v>
                </c:pt>
                <c:pt idx="12">
                  <c:v>ULCINJ</c:v>
                </c:pt>
                <c:pt idx="13">
                  <c:v>MOJKOVAC</c:v>
                </c:pt>
                <c:pt idx="14">
                  <c:v>DANILOVGRAD</c:v>
                </c:pt>
                <c:pt idx="15">
                  <c:v>ROŽAJE</c:v>
                </c:pt>
                <c:pt idx="16">
                  <c:v>KOLAŠIN</c:v>
                </c:pt>
                <c:pt idx="17">
                  <c:v>PLJEVLJA</c:v>
                </c:pt>
                <c:pt idx="18">
                  <c:v>ŽABLJAK</c:v>
                </c:pt>
                <c:pt idx="19">
                  <c:v>ANDRIJEVICA</c:v>
                </c:pt>
                <c:pt idx="20">
                  <c:v>ŠAVNIK</c:v>
                </c:pt>
                <c:pt idx="21">
                  <c:v>PLUŽINE</c:v>
                </c:pt>
                <c:pt idx="22">
                  <c:v>GUSINJE</c:v>
                </c:pt>
                <c:pt idx="23">
                  <c:v>PETNJICA</c:v>
                </c:pt>
                <c:pt idx="24">
                  <c:v>ZETA</c:v>
                </c:pt>
              </c:strCache>
            </c:strRef>
          </c:cat>
          <c:val>
            <c:numRef>
              <c:f>Foglio2!$B$35:$Z$35</c:f>
              <c:numCache>
                <c:formatCode>0%</c:formatCode>
                <c:ptCount val="25"/>
                <c:pt idx="0">
                  <c:v>0.17138103161397669</c:v>
                </c:pt>
                <c:pt idx="1">
                  <c:v>0.10700389105058365</c:v>
                </c:pt>
                <c:pt idx="2">
                  <c:v>7.1594607159460713E-2</c:v>
                </c:pt>
                <c:pt idx="3">
                  <c:v>0.13144758735440931</c:v>
                </c:pt>
                <c:pt idx="4">
                  <c:v>0.10341805433829973</c:v>
                </c:pt>
                <c:pt idx="5">
                  <c:v>0.10137275607180571</c:v>
                </c:pt>
                <c:pt idx="6">
                  <c:v>0.11848173111032281</c:v>
                </c:pt>
                <c:pt idx="7">
                  <c:v>0.1240418118466899</c:v>
                </c:pt>
                <c:pt idx="8">
                  <c:v>8.6468276249298148E-2</c:v>
                </c:pt>
                <c:pt idx="9">
                  <c:v>0.11681831523334311</c:v>
                </c:pt>
                <c:pt idx="10">
                  <c:v>9.7777777777777783E-2</c:v>
                </c:pt>
                <c:pt idx="11">
                  <c:v>0.1627554882664648</c:v>
                </c:pt>
                <c:pt idx="12">
                  <c:v>0.25228310502283108</c:v>
                </c:pt>
                <c:pt idx="13">
                  <c:v>0.13740458015267176</c:v>
                </c:pt>
                <c:pt idx="14">
                  <c:v>0.1016260162601626</c:v>
                </c:pt>
                <c:pt idx="15">
                  <c:v>6.8052930056710773E-2</c:v>
                </c:pt>
                <c:pt idx="16">
                  <c:v>0.22167487684729065</c:v>
                </c:pt>
                <c:pt idx="17">
                  <c:v>0.18965517241379309</c:v>
                </c:pt>
                <c:pt idx="18">
                  <c:v>0.39047619047619048</c:v>
                </c:pt>
                <c:pt idx="19">
                  <c:v>0.20588235294117646</c:v>
                </c:pt>
                <c:pt idx="20">
                  <c:v>0.30303030303030304</c:v>
                </c:pt>
                <c:pt idx="21">
                  <c:v>0.41025641025641024</c:v>
                </c:pt>
                <c:pt idx="22">
                  <c:v>0.22727272727272727</c:v>
                </c:pt>
                <c:pt idx="23">
                  <c:v>0.15151515151515152</c:v>
                </c:pt>
                <c:pt idx="24">
                  <c:v>0.125</c:v>
                </c:pt>
              </c:numCache>
            </c:numRef>
          </c:val>
          <c:extLst>
            <c:ext xmlns:c16="http://schemas.microsoft.com/office/drawing/2014/chart" uri="{C3380CC4-5D6E-409C-BE32-E72D297353CC}">
              <c16:uniqueId val="{00000008-6153-47BF-9D82-571EB6291096}"/>
            </c:ext>
          </c:extLst>
        </c:ser>
        <c:ser>
          <c:idx val="9"/>
          <c:order val="9"/>
          <c:tx>
            <c:strRef>
              <c:f>Foglio2!$A$36</c:f>
              <c:strCache>
                <c:ptCount val="1"/>
                <c:pt idx="0">
                  <c:v>INFORMATION AND COMMUNICATIONS</c:v>
                </c:pt>
              </c:strCache>
            </c:strRef>
          </c:tx>
          <c:spPr>
            <a:solidFill>
              <a:schemeClr val="accent4">
                <a:lumMod val="60000"/>
              </a:schemeClr>
            </a:solidFill>
            <a:ln>
              <a:noFill/>
            </a:ln>
            <a:effectLst/>
          </c:spPr>
          <c:invertIfNegative val="0"/>
          <c:cat>
            <c:strRef>
              <c:f>Foglio2!$B$26:$Z$26</c:f>
              <c:strCache>
                <c:ptCount val="25"/>
                <c:pt idx="0">
                  <c:v>BERANE</c:v>
                </c:pt>
                <c:pt idx="1">
                  <c:v>CETINJE</c:v>
                </c:pt>
                <c:pt idx="2">
                  <c:v>PODGORICA</c:v>
                </c:pt>
                <c:pt idx="3">
                  <c:v>PLJEVLJA</c:v>
                </c:pt>
                <c:pt idx="4">
                  <c:v>BIJELO POLJE</c:v>
                </c:pt>
                <c:pt idx="5">
                  <c:v>NIKŠIĆ</c:v>
                </c:pt>
                <c:pt idx="6">
                  <c:v>HERCEG NOVI</c:v>
                </c:pt>
                <c:pt idx="7">
                  <c:v>BUDVA</c:v>
                </c:pt>
                <c:pt idx="8">
                  <c:v>TIVAT</c:v>
                </c:pt>
                <c:pt idx="9">
                  <c:v>BAR</c:v>
                </c:pt>
                <c:pt idx="10">
                  <c:v>TUZI</c:v>
                </c:pt>
                <c:pt idx="11">
                  <c:v>KOTOR</c:v>
                </c:pt>
                <c:pt idx="12">
                  <c:v>ULCINJ</c:v>
                </c:pt>
                <c:pt idx="13">
                  <c:v>MOJKOVAC</c:v>
                </c:pt>
                <c:pt idx="14">
                  <c:v>DANILOVGRAD</c:v>
                </c:pt>
                <c:pt idx="15">
                  <c:v>ROŽAJE</c:v>
                </c:pt>
                <c:pt idx="16">
                  <c:v>KOLAŠIN</c:v>
                </c:pt>
                <c:pt idx="17">
                  <c:v>PLJEVLJA</c:v>
                </c:pt>
                <c:pt idx="18">
                  <c:v>ŽABLJAK</c:v>
                </c:pt>
                <c:pt idx="19">
                  <c:v>ANDRIJEVICA</c:v>
                </c:pt>
                <c:pt idx="20">
                  <c:v>ŠAVNIK</c:v>
                </c:pt>
                <c:pt idx="21">
                  <c:v>PLUŽINE</c:v>
                </c:pt>
                <c:pt idx="22">
                  <c:v>GUSINJE</c:v>
                </c:pt>
                <c:pt idx="23">
                  <c:v>PETNJICA</c:v>
                </c:pt>
                <c:pt idx="24">
                  <c:v>ZETA</c:v>
                </c:pt>
              </c:strCache>
            </c:strRef>
          </c:cat>
          <c:val>
            <c:numRef>
              <c:f>Foglio2!$B$36:$Z$36</c:f>
              <c:numCache>
                <c:formatCode>0%</c:formatCode>
                <c:ptCount val="25"/>
                <c:pt idx="0">
                  <c:v>3.3277870216306155E-2</c:v>
                </c:pt>
                <c:pt idx="1">
                  <c:v>4.8638132295719845E-2</c:v>
                </c:pt>
                <c:pt idx="2">
                  <c:v>8.4704788470478853E-2</c:v>
                </c:pt>
                <c:pt idx="3">
                  <c:v>1.4975041597337771E-2</c:v>
                </c:pt>
                <c:pt idx="4">
                  <c:v>2.4539877300613498E-2</c:v>
                </c:pt>
                <c:pt idx="5">
                  <c:v>2.1119324181626188E-2</c:v>
                </c:pt>
                <c:pt idx="6">
                  <c:v>0.13160695282014898</c:v>
                </c:pt>
                <c:pt idx="7">
                  <c:v>9.5644599303135888E-2</c:v>
                </c:pt>
                <c:pt idx="8">
                  <c:v>5.5025266704098824E-2</c:v>
                </c:pt>
                <c:pt idx="9">
                  <c:v>7.8661579101849136E-2</c:v>
                </c:pt>
                <c:pt idx="10">
                  <c:v>3.5555555555555556E-2</c:v>
                </c:pt>
                <c:pt idx="11">
                  <c:v>3.3308099924299776E-2</c:v>
                </c:pt>
                <c:pt idx="12">
                  <c:v>2.2831050228310501E-2</c:v>
                </c:pt>
                <c:pt idx="13">
                  <c:v>2.2900763358778626E-2</c:v>
                </c:pt>
                <c:pt idx="14">
                  <c:v>2.6422764227642278E-2</c:v>
                </c:pt>
                <c:pt idx="15">
                  <c:v>1.5122873345935728E-2</c:v>
                </c:pt>
                <c:pt idx="16">
                  <c:v>2.4630541871921183E-2</c:v>
                </c:pt>
                <c:pt idx="17">
                  <c:v>8.6206896551724137E-3</c:v>
                </c:pt>
                <c:pt idx="18">
                  <c:v>9.5238095238095247E-3</c:v>
                </c:pt>
                <c:pt idx="19">
                  <c:v>1.4705882352941176E-2</c:v>
                </c:pt>
                <c:pt idx="20">
                  <c:v>0</c:v>
                </c:pt>
                <c:pt idx="21">
                  <c:v>0</c:v>
                </c:pt>
                <c:pt idx="22">
                  <c:v>0</c:v>
                </c:pt>
                <c:pt idx="23">
                  <c:v>0</c:v>
                </c:pt>
                <c:pt idx="24">
                  <c:v>6.25E-2</c:v>
                </c:pt>
              </c:numCache>
            </c:numRef>
          </c:val>
          <c:extLst>
            <c:ext xmlns:c16="http://schemas.microsoft.com/office/drawing/2014/chart" uri="{C3380CC4-5D6E-409C-BE32-E72D297353CC}">
              <c16:uniqueId val="{00000009-6153-47BF-9D82-571EB6291096}"/>
            </c:ext>
          </c:extLst>
        </c:ser>
        <c:ser>
          <c:idx val="10"/>
          <c:order val="10"/>
          <c:tx>
            <c:strRef>
              <c:f>Foglio2!$A$37</c:f>
              <c:strCache>
                <c:ptCount val="1"/>
                <c:pt idx="0">
                  <c:v> FINANCIAL ACTIVITIES AND INSURANCE ACTIVITIES</c:v>
                </c:pt>
              </c:strCache>
            </c:strRef>
          </c:tx>
          <c:spPr>
            <a:solidFill>
              <a:schemeClr val="accent5">
                <a:lumMod val="60000"/>
              </a:schemeClr>
            </a:solidFill>
            <a:ln>
              <a:noFill/>
            </a:ln>
            <a:effectLst/>
          </c:spPr>
          <c:invertIfNegative val="0"/>
          <c:cat>
            <c:strRef>
              <c:f>Foglio2!$B$26:$Z$26</c:f>
              <c:strCache>
                <c:ptCount val="25"/>
                <c:pt idx="0">
                  <c:v>BERANE</c:v>
                </c:pt>
                <c:pt idx="1">
                  <c:v>CETINJE</c:v>
                </c:pt>
                <c:pt idx="2">
                  <c:v>PODGORICA</c:v>
                </c:pt>
                <c:pt idx="3">
                  <c:v>PLJEVLJA</c:v>
                </c:pt>
                <c:pt idx="4">
                  <c:v>BIJELO POLJE</c:v>
                </c:pt>
                <c:pt idx="5">
                  <c:v>NIKŠIĆ</c:v>
                </c:pt>
                <c:pt idx="6">
                  <c:v>HERCEG NOVI</c:v>
                </c:pt>
                <c:pt idx="7">
                  <c:v>BUDVA</c:v>
                </c:pt>
                <c:pt idx="8">
                  <c:v>TIVAT</c:v>
                </c:pt>
                <c:pt idx="9">
                  <c:v>BAR</c:v>
                </c:pt>
                <c:pt idx="10">
                  <c:v>TUZI</c:v>
                </c:pt>
                <c:pt idx="11">
                  <c:v>KOTOR</c:v>
                </c:pt>
                <c:pt idx="12">
                  <c:v>ULCINJ</c:v>
                </c:pt>
                <c:pt idx="13">
                  <c:v>MOJKOVAC</c:v>
                </c:pt>
                <c:pt idx="14">
                  <c:v>DANILOVGRAD</c:v>
                </c:pt>
                <c:pt idx="15">
                  <c:v>ROŽAJE</c:v>
                </c:pt>
                <c:pt idx="16">
                  <c:v>KOLAŠIN</c:v>
                </c:pt>
                <c:pt idx="17">
                  <c:v>PLJEVLJA</c:v>
                </c:pt>
                <c:pt idx="18">
                  <c:v>ŽABLJAK</c:v>
                </c:pt>
                <c:pt idx="19">
                  <c:v>ANDRIJEVICA</c:v>
                </c:pt>
                <c:pt idx="20">
                  <c:v>ŠAVNIK</c:v>
                </c:pt>
                <c:pt idx="21">
                  <c:v>PLUŽINE</c:v>
                </c:pt>
                <c:pt idx="22">
                  <c:v>GUSINJE</c:v>
                </c:pt>
                <c:pt idx="23">
                  <c:v>PETNJICA</c:v>
                </c:pt>
                <c:pt idx="24">
                  <c:v>ZETA</c:v>
                </c:pt>
              </c:strCache>
            </c:strRef>
          </c:cat>
          <c:val>
            <c:numRef>
              <c:f>Foglio2!$B$37:$Z$37</c:f>
              <c:numCache>
                <c:formatCode>0%</c:formatCode>
                <c:ptCount val="25"/>
                <c:pt idx="0">
                  <c:v>0</c:v>
                </c:pt>
                <c:pt idx="1">
                  <c:v>1.9455252918287938E-3</c:v>
                </c:pt>
                <c:pt idx="2">
                  <c:v>9.3909809390980946E-3</c:v>
                </c:pt>
                <c:pt idx="3">
                  <c:v>0</c:v>
                </c:pt>
                <c:pt idx="4">
                  <c:v>0</c:v>
                </c:pt>
                <c:pt idx="5">
                  <c:v>1.5839493136219642E-3</c:v>
                </c:pt>
                <c:pt idx="6">
                  <c:v>2.1284143313231641E-3</c:v>
                </c:pt>
                <c:pt idx="7">
                  <c:v>1.7421602787456446E-3</c:v>
                </c:pt>
                <c:pt idx="8">
                  <c:v>1.6844469399213925E-3</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numCache>
            </c:numRef>
          </c:val>
          <c:extLst>
            <c:ext xmlns:c16="http://schemas.microsoft.com/office/drawing/2014/chart" uri="{C3380CC4-5D6E-409C-BE32-E72D297353CC}">
              <c16:uniqueId val="{0000000A-6153-47BF-9D82-571EB6291096}"/>
            </c:ext>
          </c:extLst>
        </c:ser>
        <c:ser>
          <c:idx val="11"/>
          <c:order val="11"/>
          <c:tx>
            <c:strRef>
              <c:f>Foglio2!$A$38</c:f>
              <c:strCache>
                <c:ptCount val="1"/>
                <c:pt idx="0">
                  <c:v>REAL ESTATE BUSINESS</c:v>
                </c:pt>
              </c:strCache>
            </c:strRef>
          </c:tx>
          <c:spPr>
            <a:solidFill>
              <a:schemeClr val="accent6">
                <a:lumMod val="60000"/>
              </a:schemeClr>
            </a:solidFill>
            <a:ln>
              <a:noFill/>
            </a:ln>
            <a:effectLst/>
          </c:spPr>
          <c:invertIfNegative val="0"/>
          <c:cat>
            <c:strRef>
              <c:f>Foglio2!$B$26:$Z$26</c:f>
              <c:strCache>
                <c:ptCount val="25"/>
                <c:pt idx="0">
                  <c:v>BERANE</c:v>
                </c:pt>
                <c:pt idx="1">
                  <c:v>CETINJE</c:v>
                </c:pt>
                <c:pt idx="2">
                  <c:v>PODGORICA</c:v>
                </c:pt>
                <c:pt idx="3">
                  <c:v>PLJEVLJA</c:v>
                </c:pt>
                <c:pt idx="4">
                  <c:v>BIJELO POLJE</c:v>
                </c:pt>
                <c:pt idx="5">
                  <c:v>NIKŠIĆ</c:v>
                </c:pt>
                <c:pt idx="6">
                  <c:v>HERCEG NOVI</c:v>
                </c:pt>
                <c:pt idx="7">
                  <c:v>BUDVA</c:v>
                </c:pt>
                <c:pt idx="8">
                  <c:v>TIVAT</c:v>
                </c:pt>
                <c:pt idx="9">
                  <c:v>BAR</c:v>
                </c:pt>
                <c:pt idx="10">
                  <c:v>TUZI</c:v>
                </c:pt>
                <c:pt idx="11">
                  <c:v>KOTOR</c:v>
                </c:pt>
                <c:pt idx="12">
                  <c:v>ULCINJ</c:v>
                </c:pt>
                <c:pt idx="13">
                  <c:v>MOJKOVAC</c:v>
                </c:pt>
                <c:pt idx="14">
                  <c:v>DANILOVGRAD</c:v>
                </c:pt>
                <c:pt idx="15">
                  <c:v>ROŽAJE</c:v>
                </c:pt>
                <c:pt idx="16">
                  <c:v>KOLAŠIN</c:v>
                </c:pt>
                <c:pt idx="17">
                  <c:v>PLJEVLJA</c:v>
                </c:pt>
                <c:pt idx="18">
                  <c:v>ŽABLJAK</c:v>
                </c:pt>
                <c:pt idx="19">
                  <c:v>ANDRIJEVICA</c:v>
                </c:pt>
                <c:pt idx="20">
                  <c:v>ŠAVNIK</c:v>
                </c:pt>
                <c:pt idx="21">
                  <c:v>PLUŽINE</c:v>
                </c:pt>
                <c:pt idx="22">
                  <c:v>GUSINJE</c:v>
                </c:pt>
                <c:pt idx="23">
                  <c:v>PETNJICA</c:v>
                </c:pt>
                <c:pt idx="24">
                  <c:v>ZETA</c:v>
                </c:pt>
              </c:strCache>
            </c:strRef>
          </c:cat>
          <c:val>
            <c:numRef>
              <c:f>Foglio2!$B$38:$Z$38</c:f>
              <c:numCache>
                <c:formatCode>0%</c:formatCode>
                <c:ptCount val="25"/>
                <c:pt idx="0">
                  <c:v>3.3277870216306157E-3</c:v>
                </c:pt>
                <c:pt idx="1">
                  <c:v>1.3618677042801557E-2</c:v>
                </c:pt>
                <c:pt idx="2">
                  <c:v>3.8958623895862389E-2</c:v>
                </c:pt>
                <c:pt idx="3">
                  <c:v>3.3277870216306157E-3</c:v>
                </c:pt>
                <c:pt idx="4">
                  <c:v>5.2585451358457495E-3</c:v>
                </c:pt>
                <c:pt idx="5">
                  <c:v>4.7518479408658922E-3</c:v>
                </c:pt>
                <c:pt idx="6">
                  <c:v>5.5693508336289464E-2</c:v>
                </c:pt>
                <c:pt idx="7">
                  <c:v>6.9163763066202089E-2</c:v>
                </c:pt>
                <c:pt idx="8">
                  <c:v>0.16900617630544637</c:v>
                </c:pt>
                <c:pt idx="9">
                  <c:v>4.2265923099501029E-2</c:v>
                </c:pt>
                <c:pt idx="10">
                  <c:v>0</c:v>
                </c:pt>
                <c:pt idx="11">
                  <c:v>6.3588190764572297E-2</c:v>
                </c:pt>
                <c:pt idx="12">
                  <c:v>2.2831050228310501E-2</c:v>
                </c:pt>
                <c:pt idx="13">
                  <c:v>1.5267175572519083E-2</c:v>
                </c:pt>
                <c:pt idx="14">
                  <c:v>2.0325203252032522E-3</c:v>
                </c:pt>
                <c:pt idx="15">
                  <c:v>1.890359168241966E-3</c:v>
                </c:pt>
                <c:pt idx="16">
                  <c:v>1.9704433497536946E-2</c:v>
                </c:pt>
                <c:pt idx="17">
                  <c:v>0</c:v>
                </c:pt>
                <c:pt idx="18">
                  <c:v>1.9047619047619049E-2</c:v>
                </c:pt>
                <c:pt idx="19">
                  <c:v>0</c:v>
                </c:pt>
                <c:pt idx="20">
                  <c:v>0</c:v>
                </c:pt>
                <c:pt idx="21">
                  <c:v>0</c:v>
                </c:pt>
                <c:pt idx="22">
                  <c:v>0</c:v>
                </c:pt>
                <c:pt idx="23">
                  <c:v>0</c:v>
                </c:pt>
                <c:pt idx="24">
                  <c:v>0</c:v>
                </c:pt>
              </c:numCache>
            </c:numRef>
          </c:val>
          <c:extLst>
            <c:ext xmlns:c16="http://schemas.microsoft.com/office/drawing/2014/chart" uri="{C3380CC4-5D6E-409C-BE32-E72D297353CC}">
              <c16:uniqueId val="{0000000B-6153-47BF-9D82-571EB6291096}"/>
            </c:ext>
          </c:extLst>
        </c:ser>
        <c:ser>
          <c:idx val="12"/>
          <c:order val="12"/>
          <c:tx>
            <c:strRef>
              <c:f>Foglio2!$A$39</c:f>
              <c:strCache>
                <c:ptCount val="1"/>
                <c:pt idx="0">
                  <c:v> PROFESSIONAL, SCIENTIFIC AND TECHNICAL ACTIVITIES</c:v>
                </c:pt>
              </c:strCache>
            </c:strRef>
          </c:tx>
          <c:spPr>
            <a:solidFill>
              <a:schemeClr val="accent1">
                <a:lumMod val="80000"/>
                <a:lumOff val="20000"/>
              </a:schemeClr>
            </a:solidFill>
            <a:ln>
              <a:noFill/>
            </a:ln>
            <a:effectLst/>
          </c:spPr>
          <c:invertIfNegative val="0"/>
          <c:cat>
            <c:strRef>
              <c:f>Foglio2!$B$26:$Z$26</c:f>
              <c:strCache>
                <c:ptCount val="25"/>
                <c:pt idx="0">
                  <c:v>BERANE</c:v>
                </c:pt>
                <c:pt idx="1">
                  <c:v>CETINJE</c:v>
                </c:pt>
                <c:pt idx="2">
                  <c:v>PODGORICA</c:v>
                </c:pt>
                <c:pt idx="3">
                  <c:v>PLJEVLJA</c:v>
                </c:pt>
                <c:pt idx="4">
                  <c:v>BIJELO POLJE</c:v>
                </c:pt>
                <c:pt idx="5">
                  <c:v>NIKŠIĆ</c:v>
                </c:pt>
                <c:pt idx="6">
                  <c:v>HERCEG NOVI</c:v>
                </c:pt>
                <c:pt idx="7">
                  <c:v>BUDVA</c:v>
                </c:pt>
                <c:pt idx="8">
                  <c:v>TIVAT</c:v>
                </c:pt>
                <c:pt idx="9">
                  <c:v>BAR</c:v>
                </c:pt>
                <c:pt idx="10">
                  <c:v>TUZI</c:v>
                </c:pt>
                <c:pt idx="11">
                  <c:v>KOTOR</c:v>
                </c:pt>
                <c:pt idx="12">
                  <c:v>ULCINJ</c:v>
                </c:pt>
                <c:pt idx="13">
                  <c:v>MOJKOVAC</c:v>
                </c:pt>
                <c:pt idx="14">
                  <c:v>DANILOVGRAD</c:v>
                </c:pt>
                <c:pt idx="15">
                  <c:v>ROŽAJE</c:v>
                </c:pt>
                <c:pt idx="16">
                  <c:v>KOLAŠIN</c:v>
                </c:pt>
                <c:pt idx="17">
                  <c:v>PLJEVLJA</c:v>
                </c:pt>
                <c:pt idx="18">
                  <c:v>ŽABLJAK</c:v>
                </c:pt>
                <c:pt idx="19">
                  <c:v>ANDRIJEVICA</c:v>
                </c:pt>
                <c:pt idx="20">
                  <c:v>ŠAVNIK</c:v>
                </c:pt>
                <c:pt idx="21">
                  <c:v>PLUŽINE</c:v>
                </c:pt>
                <c:pt idx="22">
                  <c:v>GUSINJE</c:v>
                </c:pt>
                <c:pt idx="23">
                  <c:v>PETNJICA</c:v>
                </c:pt>
                <c:pt idx="24">
                  <c:v>ZETA</c:v>
                </c:pt>
              </c:strCache>
            </c:strRef>
          </c:cat>
          <c:val>
            <c:numRef>
              <c:f>Foglio2!$B$39:$Z$39</c:f>
              <c:numCache>
                <c:formatCode>0%</c:formatCode>
                <c:ptCount val="25"/>
                <c:pt idx="0">
                  <c:v>6.6555740432612309E-2</c:v>
                </c:pt>
                <c:pt idx="1">
                  <c:v>0.16342412451361868</c:v>
                </c:pt>
                <c:pt idx="2">
                  <c:v>0.20362622036262204</c:v>
                </c:pt>
                <c:pt idx="3">
                  <c:v>4.3261231281198007E-2</c:v>
                </c:pt>
                <c:pt idx="4">
                  <c:v>0.13672217353198948</c:v>
                </c:pt>
                <c:pt idx="5">
                  <c:v>0.11140443505807814</c:v>
                </c:pt>
                <c:pt idx="6">
                  <c:v>0.15714792479602696</c:v>
                </c:pt>
                <c:pt idx="7">
                  <c:v>0.18745644599303135</c:v>
                </c:pt>
                <c:pt idx="8">
                  <c:v>0.17181358787198203</c:v>
                </c:pt>
                <c:pt idx="9">
                  <c:v>0.14763721749339595</c:v>
                </c:pt>
                <c:pt idx="10">
                  <c:v>2.2222222222222223E-2</c:v>
                </c:pt>
                <c:pt idx="11">
                  <c:v>0.1400454201362604</c:v>
                </c:pt>
                <c:pt idx="12">
                  <c:v>0.1004566210045662</c:v>
                </c:pt>
                <c:pt idx="13">
                  <c:v>6.1068702290076333E-2</c:v>
                </c:pt>
                <c:pt idx="14">
                  <c:v>9.7560975609756101E-2</c:v>
                </c:pt>
                <c:pt idx="15">
                  <c:v>7.5614366729678639E-2</c:v>
                </c:pt>
                <c:pt idx="16">
                  <c:v>9.3596059113300489E-2</c:v>
                </c:pt>
                <c:pt idx="17">
                  <c:v>9.4827586206896547E-2</c:v>
                </c:pt>
                <c:pt idx="18">
                  <c:v>5.7142857142857141E-2</c:v>
                </c:pt>
                <c:pt idx="19">
                  <c:v>2.9411764705882353E-2</c:v>
                </c:pt>
                <c:pt idx="20">
                  <c:v>0.15151515151515152</c:v>
                </c:pt>
                <c:pt idx="21">
                  <c:v>5.128205128205128E-2</c:v>
                </c:pt>
                <c:pt idx="22">
                  <c:v>4.5454545454545456E-2</c:v>
                </c:pt>
                <c:pt idx="23">
                  <c:v>3.0303030303030304E-2</c:v>
                </c:pt>
                <c:pt idx="24">
                  <c:v>0.3125</c:v>
                </c:pt>
              </c:numCache>
            </c:numRef>
          </c:val>
          <c:extLst>
            <c:ext xmlns:c16="http://schemas.microsoft.com/office/drawing/2014/chart" uri="{C3380CC4-5D6E-409C-BE32-E72D297353CC}">
              <c16:uniqueId val="{0000000C-6153-47BF-9D82-571EB6291096}"/>
            </c:ext>
          </c:extLst>
        </c:ser>
        <c:ser>
          <c:idx val="13"/>
          <c:order val="13"/>
          <c:tx>
            <c:strRef>
              <c:f>Foglio2!$A$40</c:f>
              <c:strCache>
                <c:ptCount val="1"/>
                <c:pt idx="0">
                  <c:v> ADMINISTRATIVE AND AUXILIARY SERVICE ACTIVITIES</c:v>
                </c:pt>
              </c:strCache>
            </c:strRef>
          </c:tx>
          <c:spPr>
            <a:solidFill>
              <a:schemeClr val="accent2">
                <a:lumMod val="80000"/>
                <a:lumOff val="20000"/>
              </a:schemeClr>
            </a:solidFill>
            <a:ln>
              <a:noFill/>
            </a:ln>
            <a:effectLst/>
          </c:spPr>
          <c:invertIfNegative val="0"/>
          <c:cat>
            <c:strRef>
              <c:f>Foglio2!$B$26:$Z$26</c:f>
              <c:strCache>
                <c:ptCount val="25"/>
                <c:pt idx="0">
                  <c:v>BERANE</c:v>
                </c:pt>
                <c:pt idx="1">
                  <c:v>CETINJE</c:v>
                </c:pt>
                <c:pt idx="2">
                  <c:v>PODGORICA</c:v>
                </c:pt>
                <c:pt idx="3">
                  <c:v>PLJEVLJA</c:v>
                </c:pt>
                <c:pt idx="4">
                  <c:v>BIJELO POLJE</c:v>
                </c:pt>
                <c:pt idx="5">
                  <c:v>NIKŠIĆ</c:v>
                </c:pt>
                <c:pt idx="6">
                  <c:v>HERCEG NOVI</c:v>
                </c:pt>
                <c:pt idx="7">
                  <c:v>BUDVA</c:v>
                </c:pt>
                <c:pt idx="8">
                  <c:v>TIVAT</c:v>
                </c:pt>
                <c:pt idx="9">
                  <c:v>BAR</c:v>
                </c:pt>
                <c:pt idx="10">
                  <c:v>TUZI</c:v>
                </c:pt>
                <c:pt idx="11">
                  <c:v>KOTOR</c:v>
                </c:pt>
                <c:pt idx="12">
                  <c:v>ULCINJ</c:v>
                </c:pt>
                <c:pt idx="13">
                  <c:v>MOJKOVAC</c:v>
                </c:pt>
                <c:pt idx="14">
                  <c:v>DANILOVGRAD</c:v>
                </c:pt>
                <c:pt idx="15">
                  <c:v>ROŽAJE</c:v>
                </c:pt>
                <c:pt idx="16">
                  <c:v>KOLAŠIN</c:v>
                </c:pt>
                <c:pt idx="17">
                  <c:v>PLJEVLJA</c:v>
                </c:pt>
                <c:pt idx="18">
                  <c:v>ŽABLJAK</c:v>
                </c:pt>
                <c:pt idx="19">
                  <c:v>ANDRIJEVICA</c:v>
                </c:pt>
                <c:pt idx="20">
                  <c:v>ŠAVNIK</c:v>
                </c:pt>
                <c:pt idx="21">
                  <c:v>PLUŽINE</c:v>
                </c:pt>
                <c:pt idx="22">
                  <c:v>GUSINJE</c:v>
                </c:pt>
                <c:pt idx="23">
                  <c:v>PETNJICA</c:v>
                </c:pt>
                <c:pt idx="24">
                  <c:v>ZETA</c:v>
                </c:pt>
              </c:strCache>
            </c:strRef>
          </c:cat>
          <c:val>
            <c:numRef>
              <c:f>Foglio2!$B$40:$Z$40</c:f>
              <c:numCache>
                <c:formatCode>0%</c:formatCode>
                <c:ptCount val="25"/>
                <c:pt idx="0">
                  <c:v>1.9966722129783693E-2</c:v>
                </c:pt>
                <c:pt idx="1">
                  <c:v>4.8638132295719845E-2</c:v>
                </c:pt>
                <c:pt idx="2">
                  <c:v>4.7512784751278472E-2</c:v>
                </c:pt>
                <c:pt idx="3">
                  <c:v>1.4975041597337771E-2</c:v>
                </c:pt>
                <c:pt idx="4">
                  <c:v>2.6292725679228746E-2</c:v>
                </c:pt>
                <c:pt idx="5">
                  <c:v>2.692713833157339E-2</c:v>
                </c:pt>
                <c:pt idx="6">
                  <c:v>7.1656615821213202E-2</c:v>
                </c:pt>
                <c:pt idx="7">
                  <c:v>8.3797909407665502E-2</c:v>
                </c:pt>
                <c:pt idx="8">
                  <c:v>7.8046041549691178E-2</c:v>
                </c:pt>
                <c:pt idx="9">
                  <c:v>6.4866451423539764E-2</c:v>
                </c:pt>
                <c:pt idx="10">
                  <c:v>3.5555555555555556E-2</c:v>
                </c:pt>
                <c:pt idx="11">
                  <c:v>8.0999242997728996E-2</c:v>
                </c:pt>
                <c:pt idx="12">
                  <c:v>2.5114155251141551E-2</c:v>
                </c:pt>
                <c:pt idx="13">
                  <c:v>7.6335877862595417E-3</c:v>
                </c:pt>
                <c:pt idx="14">
                  <c:v>3.6585365853658534E-2</c:v>
                </c:pt>
                <c:pt idx="15">
                  <c:v>1.1342155009451797E-2</c:v>
                </c:pt>
                <c:pt idx="16">
                  <c:v>6.4039408866995079E-2</c:v>
                </c:pt>
                <c:pt idx="17">
                  <c:v>8.6206896551724137E-3</c:v>
                </c:pt>
                <c:pt idx="18">
                  <c:v>3.8095238095238099E-2</c:v>
                </c:pt>
                <c:pt idx="19">
                  <c:v>0</c:v>
                </c:pt>
                <c:pt idx="20">
                  <c:v>0</c:v>
                </c:pt>
                <c:pt idx="21">
                  <c:v>0</c:v>
                </c:pt>
                <c:pt idx="22">
                  <c:v>9.0909090909090912E-2</c:v>
                </c:pt>
                <c:pt idx="23">
                  <c:v>9.0909090909090912E-2</c:v>
                </c:pt>
                <c:pt idx="24">
                  <c:v>0</c:v>
                </c:pt>
              </c:numCache>
            </c:numRef>
          </c:val>
          <c:extLst>
            <c:ext xmlns:c16="http://schemas.microsoft.com/office/drawing/2014/chart" uri="{C3380CC4-5D6E-409C-BE32-E72D297353CC}">
              <c16:uniqueId val="{0000000D-6153-47BF-9D82-571EB6291096}"/>
            </c:ext>
          </c:extLst>
        </c:ser>
        <c:ser>
          <c:idx val="14"/>
          <c:order val="14"/>
          <c:tx>
            <c:strRef>
              <c:f>Foglio2!$A$41</c:f>
              <c:strCache>
                <c:ptCount val="1"/>
                <c:pt idx="0">
                  <c:v> STATE ADMINISTRATION AND DEFENSE AND MANDATORY SOCIAL INSURANCE</c:v>
                </c:pt>
              </c:strCache>
            </c:strRef>
          </c:tx>
          <c:spPr>
            <a:solidFill>
              <a:schemeClr val="accent3">
                <a:lumMod val="80000"/>
                <a:lumOff val="20000"/>
              </a:schemeClr>
            </a:solidFill>
            <a:ln>
              <a:noFill/>
            </a:ln>
            <a:effectLst/>
          </c:spPr>
          <c:invertIfNegative val="0"/>
          <c:cat>
            <c:strRef>
              <c:f>Foglio2!$B$26:$Z$26</c:f>
              <c:strCache>
                <c:ptCount val="25"/>
                <c:pt idx="0">
                  <c:v>BERANE</c:v>
                </c:pt>
                <c:pt idx="1">
                  <c:v>CETINJE</c:v>
                </c:pt>
                <c:pt idx="2">
                  <c:v>PODGORICA</c:v>
                </c:pt>
                <c:pt idx="3">
                  <c:v>PLJEVLJA</c:v>
                </c:pt>
                <c:pt idx="4">
                  <c:v>BIJELO POLJE</c:v>
                </c:pt>
                <c:pt idx="5">
                  <c:v>NIKŠIĆ</c:v>
                </c:pt>
                <c:pt idx="6">
                  <c:v>HERCEG NOVI</c:v>
                </c:pt>
                <c:pt idx="7">
                  <c:v>BUDVA</c:v>
                </c:pt>
                <c:pt idx="8">
                  <c:v>TIVAT</c:v>
                </c:pt>
                <c:pt idx="9">
                  <c:v>BAR</c:v>
                </c:pt>
                <c:pt idx="10">
                  <c:v>TUZI</c:v>
                </c:pt>
                <c:pt idx="11">
                  <c:v>KOTOR</c:v>
                </c:pt>
                <c:pt idx="12">
                  <c:v>ULCINJ</c:v>
                </c:pt>
                <c:pt idx="13">
                  <c:v>MOJKOVAC</c:v>
                </c:pt>
                <c:pt idx="14">
                  <c:v>DANILOVGRAD</c:v>
                </c:pt>
                <c:pt idx="15">
                  <c:v>ROŽAJE</c:v>
                </c:pt>
                <c:pt idx="16">
                  <c:v>KOLAŠIN</c:v>
                </c:pt>
                <c:pt idx="17">
                  <c:v>PLJEVLJA</c:v>
                </c:pt>
                <c:pt idx="18">
                  <c:v>ŽABLJAK</c:v>
                </c:pt>
                <c:pt idx="19">
                  <c:v>ANDRIJEVICA</c:v>
                </c:pt>
                <c:pt idx="20">
                  <c:v>ŠAVNIK</c:v>
                </c:pt>
                <c:pt idx="21">
                  <c:v>PLUŽINE</c:v>
                </c:pt>
                <c:pt idx="22">
                  <c:v>GUSINJE</c:v>
                </c:pt>
                <c:pt idx="23">
                  <c:v>PETNJICA</c:v>
                </c:pt>
                <c:pt idx="24">
                  <c:v>ZETA</c:v>
                </c:pt>
              </c:strCache>
            </c:strRef>
          </c:cat>
          <c:val>
            <c:numRef>
              <c:f>Foglio2!$B$41:$Z$41</c:f>
              <c:numCache>
                <c:formatCode>0%</c:formatCode>
                <c:ptCount val="25"/>
                <c:pt idx="0">
                  <c:v>1.6638935108153079E-3</c:v>
                </c:pt>
                <c:pt idx="1">
                  <c:v>0</c:v>
                </c:pt>
                <c:pt idx="2">
                  <c:v>9.2980009298000935E-5</c:v>
                </c:pt>
                <c:pt idx="3">
                  <c:v>1.6638935108153079E-3</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numCache>
            </c:numRef>
          </c:val>
          <c:extLst>
            <c:ext xmlns:c16="http://schemas.microsoft.com/office/drawing/2014/chart" uri="{C3380CC4-5D6E-409C-BE32-E72D297353CC}">
              <c16:uniqueId val="{0000000E-6153-47BF-9D82-571EB6291096}"/>
            </c:ext>
          </c:extLst>
        </c:ser>
        <c:ser>
          <c:idx val="15"/>
          <c:order val="15"/>
          <c:tx>
            <c:strRef>
              <c:f>Foglio2!$A$42</c:f>
              <c:strCache>
                <c:ptCount val="1"/>
                <c:pt idx="0">
                  <c:v>EDUCATION</c:v>
                </c:pt>
              </c:strCache>
            </c:strRef>
          </c:tx>
          <c:spPr>
            <a:solidFill>
              <a:schemeClr val="accent4">
                <a:lumMod val="80000"/>
                <a:lumOff val="20000"/>
              </a:schemeClr>
            </a:solidFill>
            <a:ln>
              <a:noFill/>
            </a:ln>
            <a:effectLst/>
          </c:spPr>
          <c:invertIfNegative val="0"/>
          <c:cat>
            <c:strRef>
              <c:f>Foglio2!$B$26:$Z$26</c:f>
              <c:strCache>
                <c:ptCount val="25"/>
                <c:pt idx="0">
                  <c:v>BERANE</c:v>
                </c:pt>
                <c:pt idx="1">
                  <c:v>CETINJE</c:v>
                </c:pt>
                <c:pt idx="2">
                  <c:v>PODGORICA</c:v>
                </c:pt>
                <c:pt idx="3">
                  <c:v>PLJEVLJA</c:v>
                </c:pt>
                <c:pt idx="4">
                  <c:v>BIJELO POLJE</c:v>
                </c:pt>
                <c:pt idx="5">
                  <c:v>NIKŠIĆ</c:v>
                </c:pt>
                <c:pt idx="6">
                  <c:v>HERCEG NOVI</c:v>
                </c:pt>
                <c:pt idx="7">
                  <c:v>BUDVA</c:v>
                </c:pt>
                <c:pt idx="8">
                  <c:v>TIVAT</c:v>
                </c:pt>
                <c:pt idx="9">
                  <c:v>BAR</c:v>
                </c:pt>
                <c:pt idx="10">
                  <c:v>TUZI</c:v>
                </c:pt>
                <c:pt idx="11">
                  <c:v>KOTOR</c:v>
                </c:pt>
                <c:pt idx="12">
                  <c:v>ULCINJ</c:v>
                </c:pt>
                <c:pt idx="13">
                  <c:v>MOJKOVAC</c:v>
                </c:pt>
                <c:pt idx="14">
                  <c:v>DANILOVGRAD</c:v>
                </c:pt>
                <c:pt idx="15">
                  <c:v>ROŽAJE</c:v>
                </c:pt>
                <c:pt idx="16">
                  <c:v>KOLAŠIN</c:v>
                </c:pt>
                <c:pt idx="17">
                  <c:v>PLJEVLJA</c:v>
                </c:pt>
                <c:pt idx="18">
                  <c:v>ŽABLJAK</c:v>
                </c:pt>
                <c:pt idx="19">
                  <c:v>ANDRIJEVICA</c:v>
                </c:pt>
                <c:pt idx="20">
                  <c:v>ŠAVNIK</c:v>
                </c:pt>
                <c:pt idx="21">
                  <c:v>PLUŽINE</c:v>
                </c:pt>
                <c:pt idx="22">
                  <c:v>GUSINJE</c:v>
                </c:pt>
                <c:pt idx="23">
                  <c:v>PETNJICA</c:v>
                </c:pt>
                <c:pt idx="24">
                  <c:v>ZETA</c:v>
                </c:pt>
              </c:strCache>
            </c:strRef>
          </c:cat>
          <c:val>
            <c:numRef>
              <c:f>Foglio2!$B$42:$Z$42</c:f>
              <c:numCache>
                <c:formatCode>0%</c:formatCode>
                <c:ptCount val="25"/>
                <c:pt idx="0">
                  <c:v>9.9833610648918467E-3</c:v>
                </c:pt>
                <c:pt idx="1">
                  <c:v>1.9455252918287938E-3</c:v>
                </c:pt>
                <c:pt idx="2">
                  <c:v>1.1343561134356113E-2</c:v>
                </c:pt>
                <c:pt idx="3">
                  <c:v>1.6638935108153079E-3</c:v>
                </c:pt>
                <c:pt idx="4">
                  <c:v>8.7642418930762491E-3</c:v>
                </c:pt>
                <c:pt idx="5">
                  <c:v>9.5036958817317843E-3</c:v>
                </c:pt>
                <c:pt idx="6">
                  <c:v>8.8683930471798508E-3</c:v>
                </c:pt>
                <c:pt idx="7">
                  <c:v>7.6655052264808362E-3</c:v>
                </c:pt>
                <c:pt idx="8">
                  <c:v>7.860752386299831E-3</c:v>
                </c:pt>
                <c:pt idx="9">
                  <c:v>1.8197828001174053E-2</c:v>
                </c:pt>
                <c:pt idx="10">
                  <c:v>0</c:v>
                </c:pt>
                <c:pt idx="11">
                  <c:v>6.8130204390613172E-3</c:v>
                </c:pt>
                <c:pt idx="12">
                  <c:v>3.4246575342465752E-3</c:v>
                </c:pt>
                <c:pt idx="13">
                  <c:v>1.5267175572519083E-2</c:v>
                </c:pt>
                <c:pt idx="14">
                  <c:v>2.0325203252032522E-3</c:v>
                </c:pt>
                <c:pt idx="15">
                  <c:v>9.4517958412098299E-3</c:v>
                </c:pt>
                <c:pt idx="16">
                  <c:v>9.852216748768473E-3</c:v>
                </c:pt>
                <c:pt idx="17">
                  <c:v>2.5862068965517241E-2</c:v>
                </c:pt>
                <c:pt idx="18">
                  <c:v>0</c:v>
                </c:pt>
                <c:pt idx="19">
                  <c:v>0</c:v>
                </c:pt>
                <c:pt idx="20">
                  <c:v>0</c:v>
                </c:pt>
                <c:pt idx="21">
                  <c:v>0</c:v>
                </c:pt>
                <c:pt idx="22">
                  <c:v>0</c:v>
                </c:pt>
                <c:pt idx="23">
                  <c:v>0</c:v>
                </c:pt>
                <c:pt idx="24">
                  <c:v>6.25E-2</c:v>
                </c:pt>
              </c:numCache>
            </c:numRef>
          </c:val>
          <c:extLst>
            <c:ext xmlns:c16="http://schemas.microsoft.com/office/drawing/2014/chart" uri="{C3380CC4-5D6E-409C-BE32-E72D297353CC}">
              <c16:uniqueId val="{0000000F-6153-47BF-9D82-571EB6291096}"/>
            </c:ext>
          </c:extLst>
        </c:ser>
        <c:ser>
          <c:idx val="16"/>
          <c:order val="16"/>
          <c:tx>
            <c:strRef>
              <c:f>Foglio2!$A$43</c:f>
              <c:strCache>
                <c:ptCount val="1"/>
                <c:pt idx="0">
                  <c:v>HEALTH AND SOCIAL PROTECTION</c:v>
                </c:pt>
              </c:strCache>
            </c:strRef>
          </c:tx>
          <c:spPr>
            <a:solidFill>
              <a:schemeClr val="accent5">
                <a:lumMod val="80000"/>
                <a:lumOff val="20000"/>
              </a:schemeClr>
            </a:solidFill>
            <a:ln>
              <a:noFill/>
            </a:ln>
            <a:effectLst/>
          </c:spPr>
          <c:invertIfNegative val="0"/>
          <c:cat>
            <c:strRef>
              <c:f>Foglio2!$B$26:$Z$26</c:f>
              <c:strCache>
                <c:ptCount val="25"/>
                <c:pt idx="0">
                  <c:v>BERANE</c:v>
                </c:pt>
                <c:pt idx="1">
                  <c:v>CETINJE</c:v>
                </c:pt>
                <c:pt idx="2">
                  <c:v>PODGORICA</c:v>
                </c:pt>
                <c:pt idx="3">
                  <c:v>PLJEVLJA</c:v>
                </c:pt>
                <c:pt idx="4">
                  <c:v>BIJELO POLJE</c:v>
                </c:pt>
                <c:pt idx="5">
                  <c:v>NIKŠIĆ</c:v>
                </c:pt>
                <c:pt idx="6">
                  <c:v>HERCEG NOVI</c:v>
                </c:pt>
                <c:pt idx="7">
                  <c:v>BUDVA</c:v>
                </c:pt>
                <c:pt idx="8">
                  <c:v>TIVAT</c:v>
                </c:pt>
                <c:pt idx="9">
                  <c:v>BAR</c:v>
                </c:pt>
                <c:pt idx="10">
                  <c:v>TUZI</c:v>
                </c:pt>
                <c:pt idx="11">
                  <c:v>KOTOR</c:v>
                </c:pt>
                <c:pt idx="12">
                  <c:v>ULCINJ</c:v>
                </c:pt>
                <c:pt idx="13">
                  <c:v>MOJKOVAC</c:v>
                </c:pt>
                <c:pt idx="14">
                  <c:v>DANILOVGRAD</c:v>
                </c:pt>
                <c:pt idx="15">
                  <c:v>ROŽAJE</c:v>
                </c:pt>
                <c:pt idx="16">
                  <c:v>KOLAŠIN</c:v>
                </c:pt>
                <c:pt idx="17">
                  <c:v>PLJEVLJA</c:v>
                </c:pt>
                <c:pt idx="18">
                  <c:v>ŽABLJAK</c:v>
                </c:pt>
                <c:pt idx="19">
                  <c:v>ANDRIJEVICA</c:v>
                </c:pt>
                <c:pt idx="20">
                  <c:v>ŠAVNIK</c:v>
                </c:pt>
                <c:pt idx="21">
                  <c:v>PLUŽINE</c:v>
                </c:pt>
                <c:pt idx="22">
                  <c:v>GUSINJE</c:v>
                </c:pt>
                <c:pt idx="23">
                  <c:v>PETNJICA</c:v>
                </c:pt>
                <c:pt idx="24">
                  <c:v>ZETA</c:v>
                </c:pt>
              </c:strCache>
            </c:strRef>
          </c:cat>
          <c:val>
            <c:numRef>
              <c:f>Foglio2!$B$43:$Z$43</c:f>
              <c:numCache>
                <c:formatCode>0%</c:formatCode>
                <c:ptCount val="25"/>
                <c:pt idx="0">
                  <c:v>4.9916805324459232E-2</c:v>
                </c:pt>
                <c:pt idx="1">
                  <c:v>1.9455252918287938E-2</c:v>
                </c:pt>
                <c:pt idx="2">
                  <c:v>1.9246861924686193E-2</c:v>
                </c:pt>
                <c:pt idx="3">
                  <c:v>3.4941763727121461E-2</c:v>
                </c:pt>
                <c:pt idx="4">
                  <c:v>2.2787028921998246E-2</c:v>
                </c:pt>
                <c:pt idx="5">
                  <c:v>2.5343189017951427E-2</c:v>
                </c:pt>
                <c:pt idx="6">
                  <c:v>1.4189428875487761E-2</c:v>
                </c:pt>
                <c:pt idx="7">
                  <c:v>6.9686411149825784E-3</c:v>
                </c:pt>
                <c:pt idx="8">
                  <c:v>7.860752386299831E-3</c:v>
                </c:pt>
                <c:pt idx="9">
                  <c:v>1.4382154388024655E-2</c:v>
                </c:pt>
                <c:pt idx="10">
                  <c:v>8.8888888888888889E-3</c:v>
                </c:pt>
                <c:pt idx="11">
                  <c:v>1.8168054504163512E-2</c:v>
                </c:pt>
                <c:pt idx="12">
                  <c:v>2.1689497716894976E-2</c:v>
                </c:pt>
                <c:pt idx="13">
                  <c:v>2.2900763358778626E-2</c:v>
                </c:pt>
                <c:pt idx="14">
                  <c:v>1.2195121951219513E-2</c:v>
                </c:pt>
                <c:pt idx="15">
                  <c:v>2.835538752362949E-2</c:v>
                </c:pt>
                <c:pt idx="16">
                  <c:v>2.4630541871921183E-2</c:v>
                </c:pt>
                <c:pt idx="17">
                  <c:v>5.1724137931034482E-2</c:v>
                </c:pt>
                <c:pt idx="18">
                  <c:v>1.9047619047619049E-2</c:v>
                </c:pt>
                <c:pt idx="19">
                  <c:v>1.4705882352941176E-2</c:v>
                </c:pt>
                <c:pt idx="20">
                  <c:v>0</c:v>
                </c:pt>
                <c:pt idx="21">
                  <c:v>0</c:v>
                </c:pt>
                <c:pt idx="22">
                  <c:v>4.5454545454545456E-2</c:v>
                </c:pt>
                <c:pt idx="23">
                  <c:v>0</c:v>
                </c:pt>
                <c:pt idx="24">
                  <c:v>0</c:v>
                </c:pt>
              </c:numCache>
            </c:numRef>
          </c:val>
          <c:extLst>
            <c:ext xmlns:c16="http://schemas.microsoft.com/office/drawing/2014/chart" uri="{C3380CC4-5D6E-409C-BE32-E72D297353CC}">
              <c16:uniqueId val="{00000010-6153-47BF-9D82-571EB6291096}"/>
            </c:ext>
          </c:extLst>
        </c:ser>
        <c:ser>
          <c:idx val="17"/>
          <c:order val="17"/>
          <c:tx>
            <c:strRef>
              <c:f>Foglio2!$A$44</c:f>
              <c:strCache>
                <c:ptCount val="1"/>
                <c:pt idx="0">
                  <c:v> ART, ENTERTAINMENT AND RECREATION</c:v>
                </c:pt>
              </c:strCache>
            </c:strRef>
          </c:tx>
          <c:spPr>
            <a:solidFill>
              <a:schemeClr val="accent6">
                <a:lumMod val="80000"/>
                <a:lumOff val="20000"/>
              </a:schemeClr>
            </a:solidFill>
            <a:ln>
              <a:noFill/>
            </a:ln>
            <a:effectLst/>
          </c:spPr>
          <c:invertIfNegative val="0"/>
          <c:cat>
            <c:strRef>
              <c:f>Foglio2!$B$26:$Z$26</c:f>
              <c:strCache>
                <c:ptCount val="25"/>
                <c:pt idx="0">
                  <c:v>BERANE</c:v>
                </c:pt>
                <c:pt idx="1">
                  <c:v>CETINJE</c:v>
                </c:pt>
                <c:pt idx="2">
                  <c:v>PODGORICA</c:v>
                </c:pt>
                <c:pt idx="3">
                  <c:v>PLJEVLJA</c:v>
                </c:pt>
                <c:pt idx="4">
                  <c:v>BIJELO POLJE</c:v>
                </c:pt>
                <c:pt idx="5">
                  <c:v>NIKŠIĆ</c:v>
                </c:pt>
                <c:pt idx="6">
                  <c:v>HERCEG NOVI</c:v>
                </c:pt>
                <c:pt idx="7">
                  <c:v>BUDVA</c:v>
                </c:pt>
                <c:pt idx="8">
                  <c:v>TIVAT</c:v>
                </c:pt>
                <c:pt idx="9">
                  <c:v>BAR</c:v>
                </c:pt>
                <c:pt idx="10">
                  <c:v>TUZI</c:v>
                </c:pt>
                <c:pt idx="11">
                  <c:v>KOTOR</c:v>
                </c:pt>
                <c:pt idx="12">
                  <c:v>ULCINJ</c:v>
                </c:pt>
                <c:pt idx="13">
                  <c:v>MOJKOVAC</c:v>
                </c:pt>
                <c:pt idx="14">
                  <c:v>DANILOVGRAD</c:v>
                </c:pt>
                <c:pt idx="15">
                  <c:v>ROŽAJE</c:v>
                </c:pt>
                <c:pt idx="16">
                  <c:v>KOLAŠIN</c:v>
                </c:pt>
                <c:pt idx="17">
                  <c:v>PLJEVLJA</c:v>
                </c:pt>
                <c:pt idx="18">
                  <c:v>ŽABLJAK</c:v>
                </c:pt>
                <c:pt idx="19">
                  <c:v>ANDRIJEVICA</c:v>
                </c:pt>
                <c:pt idx="20">
                  <c:v>ŠAVNIK</c:v>
                </c:pt>
                <c:pt idx="21">
                  <c:v>PLUŽINE</c:v>
                </c:pt>
                <c:pt idx="22">
                  <c:v>GUSINJE</c:v>
                </c:pt>
                <c:pt idx="23">
                  <c:v>PETNJICA</c:v>
                </c:pt>
                <c:pt idx="24">
                  <c:v>ZETA</c:v>
                </c:pt>
              </c:strCache>
            </c:strRef>
          </c:cat>
          <c:val>
            <c:numRef>
              <c:f>Foglio2!$B$44:$Z$44</c:f>
              <c:numCache>
                <c:formatCode>0%</c:formatCode>
                <c:ptCount val="25"/>
                <c:pt idx="0">
                  <c:v>1.1647254575707155E-2</c:v>
                </c:pt>
                <c:pt idx="1">
                  <c:v>1.3618677042801557E-2</c:v>
                </c:pt>
                <c:pt idx="2">
                  <c:v>1.5713621571362156E-2</c:v>
                </c:pt>
                <c:pt idx="3">
                  <c:v>9.9833610648918467E-3</c:v>
                </c:pt>
                <c:pt idx="4">
                  <c:v>7.8878177037686233E-3</c:v>
                </c:pt>
                <c:pt idx="5">
                  <c:v>1.4783526927138331E-2</c:v>
                </c:pt>
                <c:pt idx="6">
                  <c:v>2.4476764810216389E-2</c:v>
                </c:pt>
                <c:pt idx="7">
                  <c:v>2.0905923344947737E-2</c:v>
                </c:pt>
                <c:pt idx="8">
                  <c:v>1.6844469399213923E-2</c:v>
                </c:pt>
                <c:pt idx="9">
                  <c:v>2.2013501614323451E-2</c:v>
                </c:pt>
                <c:pt idx="10">
                  <c:v>4.4444444444444444E-3</c:v>
                </c:pt>
                <c:pt idx="11">
                  <c:v>1.8925056775170326E-2</c:v>
                </c:pt>
                <c:pt idx="12">
                  <c:v>1.4840182648401826E-2</c:v>
                </c:pt>
                <c:pt idx="13">
                  <c:v>0</c:v>
                </c:pt>
                <c:pt idx="14">
                  <c:v>8.130081300813009E-3</c:v>
                </c:pt>
                <c:pt idx="15">
                  <c:v>5.6710775047258983E-3</c:v>
                </c:pt>
                <c:pt idx="16">
                  <c:v>1.4778325123152709E-2</c:v>
                </c:pt>
                <c:pt idx="17">
                  <c:v>8.6206896551724137E-3</c:v>
                </c:pt>
                <c:pt idx="18">
                  <c:v>4.7619047619047616E-2</c:v>
                </c:pt>
                <c:pt idx="19">
                  <c:v>1.4705882352941176E-2</c:v>
                </c:pt>
                <c:pt idx="20">
                  <c:v>3.0303030303030304E-2</c:v>
                </c:pt>
                <c:pt idx="21">
                  <c:v>0.10256410256410256</c:v>
                </c:pt>
                <c:pt idx="22">
                  <c:v>0</c:v>
                </c:pt>
                <c:pt idx="23">
                  <c:v>0</c:v>
                </c:pt>
                <c:pt idx="24">
                  <c:v>0</c:v>
                </c:pt>
              </c:numCache>
            </c:numRef>
          </c:val>
          <c:extLst>
            <c:ext xmlns:c16="http://schemas.microsoft.com/office/drawing/2014/chart" uri="{C3380CC4-5D6E-409C-BE32-E72D297353CC}">
              <c16:uniqueId val="{00000011-6153-47BF-9D82-571EB6291096}"/>
            </c:ext>
          </c:extLst>
        </c:ser>
        <c:ser>
          <c:idx val="18"/>
          <c:order val="18"/>
          <c:tx>
            <c:strRef>
              <c:f>Foglio2!$A$45</c:f>
              <c:strCache>
                <c:ptCount val="1"/>
                <c:pt idx="0">
                  <c:v> OTHER SERVICE ACTIVITIES</c:v>
                </c:pt>
              </c:strCache>
            </c:strRef>
          </c:tx>
          <c:spPr>
            <a:solidFill>
              <a:schemeClr val="accent1">
                <a:lumMod val="80000"/>
              </a:schemeClr>
            </a:solidFill>
            <a:ln>
              <a:noFill/>
            </a:ln>
            <a:effectLst/>
          </c:spPr>
          <c:invertIfNegative val="0"/>
          <c:cat>
            <c:strRef>
              <c:f>Foglio2!$B$26:$Z$26</c:f>
              <c:strCache>
                <c:ptCount val="25"/>
                <c:pt idx="0">
                  <c:v>BERANE</c:v>
                </c:pt>
                <c:pt idx="1">
                  <c:v>CETINJE</c:v>
                </c:pt>
                <c:pt idx="2">
                  <c:v>PODGORICA</c:v>
                </c:pt>
                <c:pt idx="3">
                  <c:v>PLJEVLJA</c:v>
                </c:pt>
                <c:pt idx="4">
                  <c:v>BIJELO POLJE</c:v>
                </c:pt>
                <c:pt idx="5">
                  <c:v>NIKŠIĆ</c:v>
                </c:pt>
                <c:pt idx="6">
                  <c:v>HERCEG NOVI</c:v>
                </c:pt>
                <c:pt idx="7">
                  <c:v>BUDVA</c:v>
                </c:pt>
                <c:pt idx="8">
                  <c:v>TIVAT</c:v>
                </c:pt>
                <c:pt idx="9">
                  <c:v>BAR</c:v>
                </c:pt>
                <c:pt idx="10">
                  <c:v>TUZI</c:v>
                </c:pt>
                <c:pt idx="11">
                  <c:v>KOTOR</c:v>
                </c:pt>
                <c:pt idx="12">
                  <c:v>ULCINJ</c:v>
                </c:pt>
                <c:pt idx="13">
                  <c:v>MOJKOVAC</c:v>
                </c:pt>
                <c:pt idx="14">
                  <c:v>DANILOVGRAD</c:v>
                </c:pt>
                <c:pt idx="15">
                  <c:v>ROŽAJE</c:v>
                </c:pt>
                <c:pt idx="16">
                  <c:v>KOLAŠIN</c:v>
                </c:pt>
                <c:pt idx="17">
                  <c:v>PLJEVLJA</c:v>
                </c:pt>
                <c:pt idx="18">
                  <c:v>ŽABLJAK</c:v>
                </c:pt>
                <c:pt idx="19">
                  <c:v>ANDRIJEVICA</c:v>
                </c:pt>
                <c:pt idx="20">
                  <c:v>ŠAVNIK</c:v>
                </c:pt>
                <c:pt idx="21">
                  <c:v>PLUŽINE</c:v>
                </c:pt>
                <c:pt idx="22">
                  <c:v>GUSINJE</c:v>
                </c:pt>
                <c:pt idx="23">
                  <c:v>PETNJICA</c:v>
                </c:pt>
                <c:pt idx="24">
                  <c:v>ZETA</c:v>
                </c:pt>
              </c:strCache>
            </c:strRef>
          </c:cat>
          <c:val>
            <c:numRef>
              <c:f>Foglio2!$B$45:$Z$45</c:f>
              <c:numCache>
                <c:formatCode>0%</c:formatCode>
                <c:ptCount val="25"/>
                <c:pt idx="0">
                  <c:v>4.4925124792013313E-2</c:v>
                </c:pt>
                <c:pt idx="1">
                  <c:v>1.7509727626459144E-2</c:v>
                </c:pt>
                <c:pt idx="2">
                  <c:v>4.0911204091120409E-2</c:v>
                </c:pt>
                <c:pt idx="3">
                  <c:v>7.3211314475873548E-2</c:v>
                </c:pt>
                <c:pt idx="4">
                  <c:v>5.5214723926380369E-2</c:v>
                </c:pt>
                <c:pt idx="5">
                  <c:v>4.5406546990496302E-2</c:v>
                </c:pt>
                <c:pt idx="6">
                  <c:v>5.0017736786094356E-2</c:v>
                </c:pt>
                <c:pt idx="7">
                  <c:v>3.8850174216027877E-2</c:v>
                </c:pt>
                <c:pt idx="8">
                  <c:v>3.0881527231892195E-2</c:v>
                </c:pt>
                <c:pt idx="9">
                  <c:v>5.4006457293806868E-2</c:v>
                </c:pt>
                <c:pt idx="10">
                  <c:v>5.3333333333333337E-2</c:v>
                </c:pt>
                <c:pt idx="11">
                  <c:v>4.9205147615442847E-2</c:v>
                </c:pt>
                <c:pt idx="12">
                  <c:v>1.7123287671232876E-2</c:v>
                </c:pt>
                <c:pt idx="13">
                  <c:v>2.2900763358778626E-2</c:v>
                </c:pt>
                <c:pt idx="14">
                  <c:v>3.6585365853658534E-2</c:v>
                </c:pt>
                <c:pt idx="15">
                  <c:v>4.3478260869565216E-2</c:v>
                </c:pt>
                <c:pt idx="16">
                  <c:v>4.9261083743842367E-2</c:v>
                </c:pt>
                <c:pt idx="17">
                  <c:v>1.7241379310344827E-2</c:v>
                </c:pt>
                <c:pt idx="18">
                  <c:v>9.5238095238095247E-3</c:v>
                </c:pt>
                <c:pt idx="19">
                  <c:v>4.4117647058823532E-2</c:v>
                </c:pt>
                <c:pt idx="20">
                  <c:v>0</c:v>
                </c:pt>
                <c:pt idx="21">
                  <c:v>0</c:v>
                </c:pt>
                <c:pt idx="22">
                  <c:v>0</c:v>
                </c:pt>
                <c:pt idx="23">
                  <c:v>0</c:v>
                </c:pt>
                <c:pt idx="24">
                  <c:v>0</c:v>
                </c:pt>
              </c:numCache>
            </c:numRef>
          </c:val>
          <c:extLst>
            <c:ext xmlns:c16="http://schemas.microsoft.com/office/drawing/2014/chart" uri="{C3380CC4-5D6E-409C-BE32-E72D297353CC}">
              <c16:uniqueId val="{00000012-6153-47BF-9D82-571EB6291096}"/>
            </c:ext>
          </c:extLst>
        </c:ser>
        <c:dLbls>
          <c:showLegendKey val="0"/>
          <c:showVal val="0"/>
          <c:showCatName val="0"/>
          <c:showSerName val="0"/>
          <c:showPercent val="0"/>
          <c:showBubbleSize val="0"/>
        </c:dLbls>
        <c:gapWidth val="150"/>
        <c:overlap val="100"/>
        <c:axId val="985431120"/>
        <c:axId val="985431600"/>
      </c:barChart>
      <c:catAx>
        <c:axId val="985431120"/>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n-lt"/>
                <a:ea typeface="+mn-ea"/>
                <a:cs typeface="Times New Roman" panose="02020603050405020304" pitchFamily="18" charset="0"/>
              </a:defRPr>
            </a:pPr>
            <a:endParaRPr lang="en-IT"/>
          </a:p>
        </c:txPr>
        <c:crossAx val="985431600"/>
        <c:crosses val="autoZero"/>
        <c:auto val="1"/>
        <c:lblAlgn val="ctr"/>
        <c:lblOffset val="100"/>
        <c:noMultiLvlLbl val="0"/>
      </c:catAx>
      <c:valAx>
        <c:axId val="985431600"/>
        <c:scaling>
          <c:orientation val="minMax"/>
        </c:scaling>
        <c:delete val="0"/>
        <c:axPos val="b"/>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j-lt"/>
                <a:ea typeface="+mn-ea"/>
                <a:cs typeface="Times New Roman" panose="02020603050405020304" pitchFamily="18" charset="0"/>
              </a:defRPr>
            </a:pPr>
            <a:endParaRPr lang="en-IT"/>
          </a:p>
        </c:txPr>
        <c:crossAx val="985431120"/>
        <c:crosses val="autoZero"/>
        <c:crossBetween val="between"/>
      </c:valAx>
      <c:spPr>
        <a:noFill/>
        <a:ln>
          <a:noFill/>
        </a:ln>
        <a:effectLst/>
      </c:spPr>
    </c:plotArea>
    <c:legend>
      <c:legendPos val="b"/>
      <c:layout>
        <c:manualLayout>
          <c:xMode val="edge"/>
          <c:yMode val="edge"/>
          <c:x val="2.2029534070093497E-2"/>
          <c:y val="0.67059161311129811"/>
          <c:w val="0.9713764335136168"/>
          <c:h val="0.32579750957703713"/>
        </c:manualLayout>
      </c:layout>
      <c:overlay val="0"/>
      <c:spPr>
        <a:noFill/>
        <a:ln>
          <a:noFill/>
        </a:ln>
        <a:effectLst/>
      </c:spPr>
      <c:txPr>
        <a:bodyPr rot="0" spcFirstLastPara="1" vertOverflow="ellipsis" vert="horz" wrap="square" anchor="ctr" anchorCtr="1"/>
        <a:lstStyle/>
        <a:p>
          <a:pPr>
            <a:defRPr sz="800" b="0" i="0" u="none" strike="noStrike" kern="1200" baseline="0">
              <a:solidFill>
                <a:sysClr val="windowText" lastClr="000000"/>
              </a:solidFill>
              <a:latin typeface="+mn-lt"/>
              <a:ea typeface="+mn-ea"/>
              <a:cs typeface="Times New Roman" panose="02020603050405020304" pitchFamily="18" charset="0"/>
            </a:defRPr>
          </a:pPr>
          <a:endParaRPr lang="en-IT"/>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solidFill>
            <a:sysClr val="windowText" lastClr="000000"/>
          </a:solidFill>
          <a:latin typeface="Times New Roman" panose="02020603050405020304" pitchFamily="18" charset="0"/>
          <a:cs typeface="Times New Roman" panose="02020603050405020304" pitchFamily="18" charset="0"/>
        </a:defRPr>
      </a:pPr>
      <a:endParaRPr lang="en-IT"/>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'ORBIS SALES'!$D$16</c:f>
              <c:strCache>
                <c:ptCount val="1"/>
                <c:pt idx="0">
                  <c:v>2018</c:v>
                </c:pt>
              </c:strCache>
            </c:strRef>
          </c:tx>
          <c:spPr>
            <a:solidFill>
              <a:schemeClr val="accent1"/>
            </a:solidFill>
            <a:ln>
              <a:noFill/>
            </a:ln>
            <a:effectLst/>
          </c:spPr>
          <c:invertIfNegative val="0"/>
          <c:cat>
            <c:strRef>
              <c:f>'ORBIS SALES'!$C$17:$C$26</c:f>
              <c:strCache>
                <c:ptCount val="10"/>
                <c:pt idx="0">
                  <c:v>PODGORICA</c:v>
                </c:pt>
                <c:pt idx="1">
                  <c:v>NIKSIC</c:v>
                </c:pt>
                <c:pt idx="2">
                  <c:v>BUDVA</c:v>
                </c:pt>
                <c:pt idx="3">
                  <c:v>BAR</c:v>
                </c:pt>
                <c:pt idx="4">
                  <c:v>HERCEG NOVI</c:v>
                </c:pt>
                <c:pt idx="5">
                  <c:v>BIJELO POLJE</c:v>
                </c:pt>
                <c:pt idx="6">
                  <c:v>TIVAT</c:v>
                </c:pt>
                <c:pt idx="7">
                  <c:v>KOTOR</c:v>
                </c:pt>
                <c:pt idx="8">
                  <c:v>DANILOVGRAD</c:v>
                </c:pt>
                <c:pt idx="9">
                  <c:v>PLJEVLJA</c:v>
                </c:pt>
              </c:strCache>
            </c:strRef>
          </c:cat>
          <c:val>
            <c:numRef>
              <c:f>'ORBIS SALES'!$D$17:$D$26</c:f>
              <c:numCache>
                <c:formatCode>0%</c:formatCode>
                <c:ptCount val="10"/>
                <c:pt idx="0">
                  <c:v>0.61968556635953409</c:v>
                </c:pt>
                <c:pt idx="1">
                  <c:v>0.11226294044380816</c:v>
                </c:pt>
                <c:pt idx="2">
                  <c:v>4.3660409673196322E-2</c:v>
                </c:pt>
                <c:pt idx="3">
                  <c:v>3.1427986227466613E-2</c:v>
                </c:pt>
                <c:pt idx="4">
                  <c:v>2.9254247355689544E-2</c:v>
                </c:pt>
                <c:pt idx="5">
                  <c:v>2.0533978562206772E-2</c:v>
                </c:pt>
                <c:pt idx="6">
                  <c:v>2.1096440422077447E-2</c:v>
                </c:pt>
                <c:pt idx="7">
                  <c:v>2.3370498672682358E-2</c:v>
                </c:pt>
                <c:pt idx="8">
                  <c:v>1.6702685430690298E-2</c:v>
                </c:pt>
                <c:pt idx="9">
                  <c:v>1.3528437448712186E-2</c:v>
                </c:pt>
              </c:numCache>
            </c:numRef>
          </c:val>
          <c:extLst>
            <c:ext xmlns:c16="http://schemas.microsoft.com/office/drawing/2014/chart" uri="{C3380CC4-5D6E-409C-BE32-E72D297353CC}">
              <c16:uniqueId val="{00000000-EC8F-4E71-B57D-B1030062355D}"/>
            </c:ext>
          </c:extLst>
        </c:ser>
        <c:ser>
          <c:idx val="1"/>
          <c:order val="1"/>
          <c:tx>
            <c:strRef>
              <c:f>'ORBIS SALES'!$E$16</c:f>
              <c:strCache>
                <c:ptCount val="1"/>
                <c:pt idx="0">
                  <c:v>2019</c:v>
                </c:pt>
              </c:strCache>
            </c:strRef>
          </c:tx>
          <c:spPr>
            <a:solidFill>
              <a:schemeClr val="accent2"/>
            </a:solidFill>
            <a:ln>
              <a:noFill/>
            </a:ln>
            <a:effectLst/>
          </c:spPr>
          <c:invertIfNegative val="0"/>
          <c:cat>
            <c:strRef>
              <c:f>'ORBIS SALES'!$C$17:$C$26</c:f>
              <c:strCache>
                <c:ptCount val="10"/>
                <c:pt idx="0">
                  <c:v>PODGORICA</c:v>
                </c:pt>
                <c:pt idx="1">
                  <c:v>NIKSIC</c:v>
                </c:pt>
                <c:pt idx="2">
                  <c:v>BUDVA</c:v>
                </c:pt>
                <c:pt idx="3">
                  <c:v>BAR</c:v>
                </c:pt>
                <c:pt idx="4">
                  <c:v>HERCEG NOVI</c:v>
                </c:pt>
                <c:pt idx="5">
                  <c:v>BIJELO POLJE</c:v>
                </c:pt>
                <c:pt idx="6">
                  <c:v>TIVAT</c:v>
                </c:pt>
                <c:pt idx="7">
                  <c:v>KOTOR</c:v>
                </c:pt>
                <c:pt idx="8">
                  <c:v>DANILOVGRAD</c:v>
                </c:pt>
                <c:pt idx="9">
                  <c:v>PLJEVLJA</c:v>
                </c:pt>
              </c:strCache>
            </c:strRef>
          </c:cat>
          <c:val>
            <c:numRef>
              <c:f>'ORBIS SALES'!$E$17:$E$26</c:f>
              <c:numCache>
                <c:formatCode>0%</c:formatCode>
                <c:ptCount val="10"/>
                <c:pt idx="0">
                  <c:v>0.59527206496247975</c:v>
                </c:pt>
                <c:pt idx="1">
                  <c:v>0.10853074949029302</c:v>
                </c:pt>
                <c:pt idx="2">
                  <c:v>4.3822801669371268E-2</c:v>
                </c:pt>
                <c:pt idx="3">
                  <c:v>3.1877079884654269E-2</c:v>
                </c:pt>
                <c:pt idx="4">
                  <c:v>4.1692527672449145E-2</c:v>
                </c:pt>
                <c:pt idx="5">
                  <c:v>3.0189927786738232E-2</c:v>
                </c:pt>
                <c:pt idx="6">
                  <c:v>2.5479285860241497E-2</c:v>
                </c:pt>
                <c:pt idx="7">
                  <c:v>2.3822279464375186E-2</c:v>
                </c:pt>
                <c:pt idx="8">
                  <c:v>1.6637292954464113E-2</c:v>
                </c:pt>
                <c:pt idx="9">
                  <c:v>1.3280320721608211E-2</c:v>
                </c:pt>
              </c:numCache>
            </c:numRef>
          </c:val>
          <c:extLst>
            <c:ext xmlns:c16="http://schemas.microsoft.com/office/drawing/2014/chart" uri="{C3380CC4-5D6E-409C-BE32-E72D297353CC}">
              <c16:uniqueId val="{00000001-EC8F-4E71-B57D-B1030062355D}"/>
            </c:ext>
          </c:extLst>
        </c:ser>
        <c:ser>
          <c:idx val="2"/>
          <c:order val="2"/>
          <c:tx>
            <c:strRef>
              <c:f>'ORBIS SALES'!$F$16</c:f>
              <c:strCache>
                <c:ptCount val="1"/>
                <c:pt idx="0">
                  <c:v>2020</c:v>
                </c:pt>
              </c:strCache>
            </c:strRef>
          </c:tx>
          <c:spPr>
            <a:solidFill>
              <a:schemeClr val="accent3"/>
            </a:solidFill>
            <a:ln>
              <a:noFill/>
            </a:ln>
            <a:effectLst/>
          </c:spPr>
          <c:invertIfNegative val="0"/>
          <c:cat>
            <c:strRef>
              <c:f>'ORBIS SALES'!$C$17:$C$26</c:f>
              <c:strCache>
                <c:ptCount val="10"/>
                <c:pt idx="0">
                  <c:v>PODGORICA</c:v>
                </c:pt>
                <c:pt idx="1">
                  <c:v>NIKSIC</c:v>
                </c:pt>
                <c:pt idx="2">
                  <c:v>BUDVA</c:v>
                </c:pt>
                <c:pt idx="3">
                  <c:v>BAR</c:v>
                </c:pt>
                <c:pt idx="4">
                  <c:v>HERCEG NOVI</c:v>
                </c:pt>
                <c:pt idx="5">
                  <c:v>BIJELO POLJE</c:v>
                </c:pt>
                <c:pt idx="6">
                  <c:v>TIVAT</c:v>
                </c:pt>
                <c:pt idx="7">
                  <c:v>KOTOR</c:v>
                </c:pt>
                <c:pt idx="8">
                  <c:v>DANILOVGRAD</c:v>
                </c:pt>
                <c:pt idx="9">
                  <c:v>PLJEVLJA</c:v>
                </c:pt>
              </c:strCache>
            </c:strRef>
          </c:cat>
          <c:val>
            <c:numRef>
              <c:f>'ORBIS SALES'!$F$17:$F$26</c:f>
              <c:numCache>
                <c:formatCode>0%</c:formatCode>
                <c:ptCount val="10"/>
                <c:pt idx="0">
                  <c:v>0.61922071361301456</c:v>
                </c:pt>
                <c:pt idx="1">
                  <c:v>0.12297002289325376</c:v>
                </c:pt>
                <c:pt idx="2">
                  <c:v>2.9460270218766463E-2</c:v>
                </c:pt>
                <c:pt idx="3">
                  <c:v>3.4577439083216491E-2</c:v>
                </c:pt>
                <c:pt idx="4">
                  <c:v>2.8868909207183366E-2</c:v>
                </c:pt>
                <c:pt idx="5">
                  <c:v>3.2981748239774761E-2</c:v>
                </c:pt>
                <c:pt idx="6">
                  <c:v>2.1411913210750453E-2</c:v>
                </c:pt>
                <c:pt idx="7">
                  <c:v>1.5673057595832499E-2</c:v>
                </c:pt>
                <c:pt idx="8">
                  <c:v>1.952479886961201E-2</c:v>
                </c:pt>
                <c:pt idx="9">
                  <c:v>1.5020950972082952E-2</c:v>
                </c:pt>
              </c:numCache>
            </c:numRef>
          </c:val>
          <c:extLst>
            <c:ext xmlns:c16="http://schemas.microsoft.com/office/drawing/2014/chart" uri="{C3380CC4-5D6E-409C-BE32-E72D297353CC}">
              <c16:uniqueId val="{00000002-EC8F-4E71-B57D-B1030062355D}"/>
            </c:ext>
          </c:extLst>
        </c:ser>
        <c:ser>
          <c:idx val="3"/>
          <c:order val="3"/>
          <c:tx>
            <c:strRef>
              <c:f>'ORBIS SALES'!$G$16</c:f>
              <c:strCache>
                <c:ptCount val="1"/>
                <c:pt idx="0">
                  <c:v>2021</c:v>
                </c:pt>
              </c:strCache>
            </c:strRef>
          </c:tx>
          <c:spPr>
            <a:solidFill>
              <a:schemeClr val="accent4"/>
            </a:solidFill>
            <a:ln>
              <a:noFill/>
            </a:ln>
            <a:effectLst/>
          </c:spPr>
          <c:invertIfNegative val="0"/>
          <c:cat>
            <c:strRef>
              <c:f>'ORBIS SALES'!$C$17:$C$26</c:f>
              <c:strCache>
                <c:ptCount val="10"/>
                <c:pt idx="0">
                  <c:v>PODGORICA</c:v>
                </c:pt>
                <c:pt idx="1">
                  <c:v>NIKSIC</c:v>
                </c:pt>
                <c:pt idx="2">
                  <c:v>BUDVA</c:v>
                </c:pt>
                <c:pt idx="3">
                  <c:v>BAR</c:v>
                </c:pt>
                <c:pt idx="4">
                  <c:v>HERCEG NOVI</c:v>
                </c:pt>
                <c:pt idx="5">
                  <c:v>BIJELO POLJE</c:v>
                </c:pt>
                <c:pt idx="6">
                  <c:v>TIVAT</c:v>
                </c:pt>
                <c:pt idx="7">
                  <c:v>KOTOR</c:v>
                </c:pt>
                <c:pt idx="8">
                  <c:v>DANILOVGRAD</c:v>
                </c:pt>
                <c:pt idx="9">
                  <c:v>PLJEVLJA</c:v>
                </c:pt>
              </c:strCache>
            </c:strRef>
          </c:cat>
          <c:val>
            <c:numRef>
              <c:f>'ORBIS SALES'!$G$17:$G$26</c:f>
              <c:numCache>
                <c:formatCode>0%</c:formatCode>
                <c:ptCount val="10"/>
                <c:pt idx="0">
                  <c:v>0.62491613529546253</c:v>
                </c:pt>
                <c:pt idx="1">
                  <c:v>0.11453877961272367</c:v>
                </c:pt>
                <c:pt idx="2">
                  <c:v>3.6153801390628591E-2</c:v>
                </c:pt>
                <c:pt idx="3">
                  <c:v>3.3947850001080269E-2</c:v>
                </c:pt>
                <c:pt idx="4">
                  <c:v>2.2747046550274916E-2</c:v>
                </c:pt>
                <c:pt idx="5">
                  <c:v>3.0476466941895319E-2</c:v>
                </c:pt>
                <c:pt idx="6">
                  <c:v>2.6200803604872907E-2</c:v>
                </c:pt>
                <c:pt idx="7">
                  <c:v>1.9740334654666701E-2</c:v>
                </c:pt>
                <c:pt idx="8">
                  <c:v>1.5734114950596966E-2</c:v>
                </c:pt>
                <c:pt idx="9">
                  <c:v>1.2965576233043976E-2</c:v>
                </c:pt>
              </c:numCache>
            </c:numRef>
          </c:val>
          <c:extLst>
            <c:ext xmlns:c16="http://schemas.microsoft.com/office/drawing/2014/chart" uri="{C3380CC4-5D6E-409C-BE32-E72D297353CC}">
              <c16:uniqueId val="{00000003-EC8F-4E71-B57D-B1030062355D}"/>
            </c:ext>
          </c:extLst>
        </c:ser>
        <c:ser>
          <c:idx val="4"/>
          <c:order val="4"/>
          <c:tx>
            <c:strRef>
              <c:f>'ORBIS SALES'!$H$16</c:f>
              <c:strCache>
                <c:ptCount val="1"/>
                <c:pt idx="0">
                  <c:v>2022</c:v>
                </c:pt>
              </c:strCache>
            </c:strRef>
          </c:tx>
          <c:spPr>
            <a:solidFill>
              <a:schemeClr val="accent5"/>
            </a:solidFill>
            <a:ln>
              <a:noFill/>
            </a:ln>
            <a:effectLst/>
          </c:spPr>
          <c:invertIfNegative val="0"/>
          <c:cat>
            <c:strRef>
              <c:f>'ORBIS SALES'!$C$17:$C$26</c:f>
              <c:strCache>
                <c:ptCount val="10"/>
                <c:pt idx="0">
                  <c:v>PODGORICA</c:v>
                </c:pt>
                <c:pt idx="1">
                  <c:v>NIKSIC</c:v>
                </c:pt>
                <c:pt idx="2">
                  <c:v>BUDVA</c:v>
                </c:pt>
                <c:pt idx="3">
                  <c:v>BAR</c:v>
                </c:pt>
                <c:pt idx="4">
                  <c:v>HERCEG NOVI</c:v>
                </c:pt>
                <c:pt idx="5">
                  <c:v>BIJELO POLJE</c:v>
                </c:pt>
                <c:pt idx="6">
                  <c:v>TIVAT</c:v>
                </c:pt>
                <c:pt idx="7">
                  <c:v>KOTOR</c:v>
                </c:pt>
                <c:pt idx="8">
                  <c:v>DANILOVGRAD</c:v>
                </c:pt>
                <c:pt idx="9">
                  <c:v>PLJEVLJA</c:v>
                </c:pt>
              </c:strCache>
            </c:strRef>
          </c:cat>
          <c:val>
            <c:numRef>
              <c:f>'ORBIS SALES'!$H$17:$H$26</c:f>
              <c:numCache>
                <c:formatCode>0%</c:formatCode>
                <c:ptCount val="10"/>
                <c:pt idx="0">
                  <c:v>0.60332639586767067</c:v>
                </c:pt>
                <c:pt idx="1">
                  <c:v>0.12734996636451784</c:v>
                </c:pt>
                <c:pt idx="2">
                  <c:v>3.7012264110302E-2</c:v>
                </c:pt>
                <c:pt idx="3">
                  <c:v>3.6245779038144452E-2</c:v>
                </c:pt>
                <c:pt idx="4">
                  <c:v>2.6340879956530592E-2</c:v>
                </c:pt>
                <c:pt idx="5">
                  <c:v>2.9056686832599994E-2</c:v>
                </c:pt>
                <c:pt idx="6">
                  <c:v>2.5301401609631312E-2</c:v>
                </c:pt>
                <c:pt idx="7">
                  <c:v>2.2344973466720854E-2</c:v>
                </c:pt>
                <c:pt idx="8">
                  <c:v>1.5402299600811058E-2</c:v>
                </c:pt>
                <c:pt idx="9">
                  <c:v>1.2951413006231456E-2</c:v>
                </c:pt>
              </c:numCache>
            </c:numRef>
          </c:val>
          <c:extLst>
            <c:ext xmlns:c16="http://schemas.microsoft.com/office/drawing/2014/chart" uri="{C3380CC4-5D6E-409C-BE32-E72D297353CC}">
              <c16:uniqueId val="{00000004-EC8F-4E71-B57D-B1030062355D}"/>
            </c:ext>
          </c:extLst>
        </c:ser>
        <c:dLbls>
          <c:showLegendKey val="0"/>
          <c:showVal val="0"/>
          <c:showCatName val="0"/>
          <c:showSerName val="0"/>
          <c:showPercent val="0"/>
          <c:showBubbleSize val="0"/>
        </c:dLbls>
        <c:gapWidth val="219"/>
        <c:overlap val="-27"/>
        <c:axId val="370166431"/>
        <c:axId val="370180831"/>
      </c:barChart>
      <c:catAx>
        <c:axId val="370166431"/>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n-lt"/>
                <a:ea typeface="+mn-ea"/>
                <a:cs typeface="Times New Roman" panose="02020603050405020304" pitchFamily="18" charset="0"/>
              </a:defRPr>
            </a:pPr>
            <a:endParaRPr lang="en-IT"/>
          </a:p>
        </c:txPr>
        <c:crossAx val="370180831"/>
        <c:crosses val="autoZero"/>
        <c:auto val="1"/>
        <c:lblAlgn val="ctr"/>
        <c:lblOffset val="100"/>
        <c:noMultiLvlLbl val="0"/>
      </c:catAx>
      <c:valAx>
        <c:axId val="370180831"/>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n-lt"/>
                <a:ea typeface="+mn-ea"/>
                <a:cs typeface="Times New Roman" panose="02020603050405020304" pitchFamily="18" charset="0"/>
              </a:defRPr>
            </a:pPr>
            <a:endParaRPr lang="en-IT"/>
          </a:p>
        </c:txPr>
        <c:crossAx val="370166431"/>
        <c:crosses val="autoZero"/>
        <c:crossBetween val="between"/>
      </c:valAx>
      <c:spPr>
        <a:noFill/>
        <a:ln>
          <a:noFill/>
        </a:ln>
        <a:effectLst/>
      </c:spPr>
    </c:plotArea>
    <c:legend>
      <c:legendPos val="t"/>
      <c:overlay val="0"/>
      <c:spPr>
        <a:noFill/>
        <a:ln>
          <a:noFill/>
        </a:ln>
        <a:effectLst/>
      </c:spPr>
      <c:txPr>
        <a:bodyPr rot="0" spcFirstLastPara="1" vertOverflow="ellipsis" vert="horz" wrap="square" anchor="ctr" anchorCtr="1"/>
        <a:lstStyle/>
        <a:p>
          <a:pPr>
            <a:defRPr sz="800" b="0" i="0" u="none" strike="noStrike" kern="1200" baseline="0">
              <a:solidFill>
                <a:sysClr val="windowText" lastClr="000000"/>
              </a:solidFill>
              <a:latin typeface="+mn-lt"/>
              <a:ea typeface="+mn-ea"/>
              <a:cs typeface="Times New Roman" panose="02020603050405020304" pitchFamily="18" charset="0"/>
            </a:defRPr>
          </a:pPr>
          <a:endParaRPr lang="en-IT"/>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solidFill>
            <a:sysClr val="windowText" lastClr="000000"/>
          </a:solidFill>
          <a:latin typeface="Times New Roman" panose="02020603050405020304" pitchFamily="18" charset="0"/>
          <a:cs typeface="Times New Roman" panose="02020603050405020304" pitchFamily="18" charset="0"/>
        </a:defRPr>
      </a:pPr>
      <a:endParaRPr lang="en-IT"/>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'ORBIS N#of new firms per year'!$AD$28</c:f>
              <c:strCache>
                <c:ptCount val="1"/>
                <c:pt idx="0">
                  <c:v>Percentage</c:v>
                </c:pt>
              </c:strCache>
            </c:strRef>
          </c:tx>
          <c:spPr>
            <a:solidFill>
              <a:schemeClr val="accent1"/>
            </a:solidFill>
            <a:ln>
              <a:noFill/>
            </a:ln>
            <a:effectLst/>
          </c:spPr>
          <c:invertIfNegative val="0"/>
          <c:cat>
            <c:strRef>
              <c:f>'ORBIS N#of new firms per year'!$AC$29:$AC$38</c:f>
              <c:strCache>
                <c:ptCount val="10"/>
                <c:pt idx="0">
                  <c:v>Management consultancy activities - 702</c:v>
                </c:pt>
                <c:pt idx="1">
                  <c:v>Construction of residential and non-residential buildings - 412</c:v>
                </c:pt>
                <c:pt idx="2">
                  <c:v>Restaurants and mobile food service activities - 561</c:v>
                </c:pt>
                <c:pt idx="3">
                  <c:v>Non-specialised wholesale trade - 469</c:v>
                </c:pt>
                <c:pt idx="4">
                  <c:v>Other personal service activities - 960</c:v>
                </c:pt>
                <c:pt idx="5">
                  <c:v>Computer programming, consultancy and related activities - 620</c:v>
                </c:pt>
                <c:pt idx="6">
                  <c:v>Retail sale in non-specialised stores - 471</c:v>
                </c:pt>
                <c:pt idx="7">
                  <c:v>Beverage serving activities - 563</c:v>
                </c:pt>
                <c:pt idx="8">
                  <c:v>Architectural and engineering activities and related technical consultancy - 711</c:v>
                </c:pt>
                <c:pt idx="9">
                  <c:v>Hotels and similar accommodation - 551</c:v>
                </c:pt>
              </c:strCache>
            </c:strRef>
          </c:cat>
          <c:val>
            <c:numRef>
              <c:f>'ORBIS N#of new firms per year'!$AD$29:$AD$38</c:f>
              <c:numCache>
                <c:formatCode>0.0%</c:formatCode>
                <c:ptCount val="10"/>
                <c:pt idx="0">
                  <c:v>6.3070371121476371E-2</c:v>
                </c:pt>
                <c:pt idx="1">
                  <c:v>3.0318393834921922E-2</c:v>
                </c:pt>
                <c:pt idx="2">
                  <c:v>2.1192455891299939E-2</c:v>
                </c:pt>
                <c:pt idx="3">
                  <c:v>2.0279862096937742E-2</c:v>
                </c:pt>
                <c:pt idx="4">
                  <c:v>1.6223889677550191E-2</c:v>
                </c:pt>
                <c:pt idx="5">
                  <c:v>1.5716893125126748E-2</c:v>
                </c:pt>
                <c:pt idx="6">
                  <c:v>1.4398702088825797E-2</c:v>
                </c:pt>
                <c:pt idx="7">
                  <c:v>1.1660920705739201E-2</c:v>
                </c:pt>
                <c:pt idx="8">
                  <c:v>1.1660920705739201E-2</c:v>
                </c:pt>
                <c:pt idx="9">
                  <c:v>1.0139931048468871E-2</c:v>
                </c:pt>
              </c:numCache>
            </c:numRef>
          </c:val>
          <c:extLst>
            <c:ext xmlns:c16="http://schemas.microsoft.com/office/drawing/2014/chart" uri="{C3380CC4-5D6E-409C-BE32-E72D297353CC}">
              <c16:uniqueId val="{00000000-B8FD-452F-97A6-9133FE2F014A}"/>
            </c:ext>
          </c:extLst>
        </c:ser>
        <c:dLbls>
          <c:showLegendKey val="0"/>
          <c:showVal val="0"/>
          <c:showCatName val="0"/>
          <c:showSerName val="0"/>
          <c:showPercent val="0"/>
          <c:showBubbleSize val="0"/>
        </c:dLbls>
        <c:gapWidth val="182"/>
        <c:axId val="371904127"/>
        <c:axId val="371902207"/>
      </c:barChart>
      <c:catAx>
        <c:axId val="371904127"/>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IT"/>
          </a:p>
        </c:txPr>
        <c:crossAx val="371902207"/>
        <c:crosses val="autoZero"/>
        <c:auto val="1"/>
        <c:lblAlgn val="ctr"/>
        <c:lblOffset val="100"/>
        <c:noMultiLvlLbl val="0"/>
      </c:catAx>
      <c:valAx>
        <c:axId val="371902207"/>
        <c:scaling>
          <c:orientation val="minMax"/>
        </c:scaling>
        <c:delete val="0"/>
        <c:axPos val="b"/>
        <c:majorGridlines>
          <c:spPr>
            <a:ln w="9525" cap="flat" cmpd="sng" algn="ctr">
              <a:solidFill>
                <a:schemeClr val="tx1">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IT"/>
          </a:p>
        </c:txPr>
        <c:crossAx val="371904127"/>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IT"/>
    </a:p>
  </c:txPr>
  <c:externalData r:id="rId3">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'ORBIS SALES'!$U$87</c:f>
              <c:strCache>
                <c:ptCount val="1"/>
                <c:pt idx="0">
                  <c:v>2018</c:v>
                </c:pt>
              </c:strCache>
            </c:strRef>
          </c:tx>
          <c:spPr>
            <a:solidFill>
              <a:schemeClr val="accent1"/>
            </a:solidFill>
            <a:ln>
              <a:noFill/>
            </a:ln>
            <a:effectLst/>
          </c:spPr>
          <c:invertIfNegative val="0"/>
          <c:cat>
            <c:strRef>
              <c:f>'ORBIS SALES'!$T$88:$T$97</c:f>
              <c:strCache>
                <c:ptCount val="10"/>
                <c:pt idx="0">
                  <c:v>Non-specialised wholesale trade- 469</c:v>
                </c:pt>
                <c:pt idx="1">
                  <c:v>Electric power generation, transmission and distribution - 351</c:v>
                </c:pt>
                <c:pt idx="2">
                  <c:v>Retail sale in non-specialised stores - 471</c:v>
                </c:pt>
                <c:pt idx="3">
                  <c:v>Other specialized wholesale - 467</c:v>
                </c:pt>
                <c:pt idx="4">
                  <c:v>Wholesale of household goods - 464</c:v>
                </c:pt>
                <c:pt idx="5">
                  <c:v>Construction of residential and non-residential buildings - 412</c:v>
                </c:pt>
                <c:pt idx="6">
                  <c:v>Retail sale of other goods in specialised stores - 477</c:v>
                </c:pt>
                <c:pt idx="7">
                  <c:v>Hotels and similar accommodation - 551</c:v>
                </c:pt>
                <c:pt idx="8">
                  <c:v>Construction of roads and railways - 421</c:v>
                </c:pt>
                <c:pt idx="9">
                  <c:v>Wholesale of food, beverages and tobacco - 463</c:v>
                </c:pt>
              </c:strCache>
            </c:strRef>
          </c:cat>
          <c:val>
            <c:numRef>
              <c:f>'ORBIS SALES'!$U$88:$U$97</c:f>
              <c:numCache>
                <c:formatCode>0.0%</c:formatCode>
                <c:ptCount val="10"/>
                <c:pt idx="0">
                  <c:v>0.13869504164868726</c:v>
                </c:pt>
                <c:pt idx="1">
                  <c:v>5.6427549339527691E-2</c:v>
                </c:pt>
                <c:pt idx="2">
                  <c:v>5.6333488412187577E-2</c:v>
                </c:pt>
                <c:pt idx="3">
                  <c:v>4.3289202994627143E-2</c:v>
                </c:pt>
                <c:pt idx="4">
                  <c:v>3.8332564778218732E-2</c:v>
                </c:pt>
                <c:pt idx="5">
                  <c:v>3.81532972304061E-2</c:v>
                </c:pt>
                <c:pt idx="6">
                  <c:v>2.8125160604647925E-2</c:v>
                </c:pt>
                <c:pt idx="7">
                  <c:v>2.5561422271109694E-2</c:v>
                </c:pt>
                <c:pt idx="8">
                  <c:v>3.8275042155702196E-2</c:v>
                </c:pt>
                <c:pt idx="9">
                  <c:v>2.113123213759548E-2</c:v>
                </c:pt>
              </c:numCache>
            </c:numRef>
          </c:val>
          <c:extLst>
            <c:ext xmlns:c16="http://schemas.microsoft.com/office/drawing/2014/chart" uri="{C3380CC4-5D6E-409C-BE32-E72D297353CC}">
              <c16:uniqueId val="{00000000-BA52-4216-9750-931278ED48C7}"/>
            </c:ext>
          </c:extLst>
        </c:ser>
        <c:ser>
          <c:idx val="1"/>
          <c:order val="1"/>
          <c:tx>
            <c:strRef>
              <c:f>'ORBIS SALES'!$V$87</c:f>
              <c:strCache>
                <c:ptCount val="1"/>
                <c:pt idx="0">
                  <c:v>2019</c:v>
                </c:pt>
              </c:strCache>
            </c:strRef>
          </c:tx>
          <c:spPr>
            <a:solidFill>
              <a:schemeClr val="accent2"/>
            </a:solidFill>
            <a:ln>
              <a:noFill/>
            </a:ln>
            <a:effectLst/>
          </c:spPr>
          <c:invertIfNegative val="0"/>
          <c:cat>
            <c:strRef>
              <c:f>'ORBIS SALES'!$T$88:$T$97</c:f>
              <c:strCache>
                <c:ptCount val="10"/>
                <c:pt idx="0">
                  <c:v>Non-specialised wholesale trade- 469</c:v>
                </c:pt>
                <c:pt idx="1">
                  <c:v>Electric power generation, transmission and distribution - 351</c:v>
                </c:pt>
                <c:pt idx="2">
                  <c:v>Retail sale in non-specialised stores - 471</c:v>
                </c:pt>
                <c:pt idx="3">
                  <c:v>Other specialized wholesale - 467</c:v>
                </c:pt>
                <c:pt idx="4">
                  <c:v>Wholesale of household goods - 464</c:v>
                </c:pt>
                <c:pt idx="5">
                  <c:v>Construction of residential and non-residential buildings - 412</c:v>
                </c:pt>
                <c:pt idx="6">
                  <c:v>Retail sale of other goods in specialised stores - 477</c:v>
                </c:pt>
                <c:pt idx="7">
                  <c:v>Hotels and similar accommodation - 551</c:v>
                </c:pt>
                <c:pt idx="8">
                  <c:v>Construction of roads and railways - 421</c:v>
                </c:pt>
                <c:pt idx="9">
                  <c:v>Wholesale of food, beverages and tobacco - 463</c:v>
                </c:pt>
              </c:strCache>
            </c:strRef>
          </c:cat>
          <c:val>
            <c:numRef>
              <c:f>'ORBIS SALES'!$V$88:$V$97</c:f>
              <c:numCache>
                <c:formatCode>0.0%</c:formatCode>
                <c:ptCount val="10"/>
                <c:pt idx="0">
                  <c:v>0.13669005522653449</c:v>
                </c:pt>
                <c:pt idx="1">
                  <c:v>5.5719346717531579E-2</c:v>
                </c:pt>
                <c:pt idx="2">
                  <c:v>5.5922917931320211E-2</c:v>
                </c:pt>
                <c:pt idx="3">
                  <c:v>4.5849529740010005E-2</c:v>
                </c:pt>
                <c:pt idx="4">
                  <c:v>3.9017178460157557E-2</c:v>
                </c:pt>
                <c:pt idx="5">
                  <c:v>5.811837828871478E-2</c:v>
                </c:pt>
                <c:pt idx="6">
                  <c:v>3.174618513423498E-2</c:v>
                </c:pt>
                <c:pt idx="7">
                  <c:v>3.1050930679629239E-2</c:v>
                </c:pt>
                <c:pt idx="8">
                  <c:v>2.7700589316757403E-2</c:v>
                </c:pt>
                <c:pt idx="9">
                  <c:v>2.259902699859213E-2</c:v>
                </c:pt>
              </c:numCache>
            </c:numRef>
          </c:val>
          <c:extLst>
            <c:ext xmlns:c16="http://schemas.microsoft.com/office/drawing/2014/chart" uri="{C3380CC4-5D6E-409C-BE32-E72D297353CC}">
              <c16:uniqueId val="{00000001-BA52-4216-9750-931278ED48C7}"/>
            </c:ext>
          </c:extLst>
        </c:ser>
        <c:ser>
          <c:idx val="2"/>
          <c:order val="2"/>
          <c:tx>
            <c:strRef>
              <c:f>'ORBIS SALES'!$W$87</c:f>
              <c:strCache>
                <c:ptCount val="1"/>
                <c:pt idx="0">
                  <c:v>2020</c:v>
                </c:pt>
              </c:strCache>
            </c:strRef>
          </c:tx>
          <c:spPr>
            <a:solidFill>
              <a:schemeClr val="accent3"/>
            </a:solidFill>
            <a:ln>
              <a:noFill/>
            </a:ln>
            <a:effectLst/>
          </c:spPr>
          <c:invertIfNegative val="0"/>
          <c:cat>
            <c:strRef>
              <c:f>'ORBIS SALES'!$T$88:$T$97</c:f>
              <c:strCache>
                <c:ptCount val="10"/>
                <c:pt idx="0">
                  <c:v>Non-specialised wholesale trade- 469</c:v>
                </c:pt>
                <c:pt idx="1">
                  <c:v>Electric power generation, transmission and distribution - 351</c:v>
                </c:pt>
                <c:pt idx="2">
                  <c:v>Retail sale in non-specialised stores - 471</c:v>
                </c:pt>
                <c:pt idx="3">
                  <c:v>Other specialized wholesale - 467</c:v>
                </c:pt>
                <c:pt idx="4">
                  <c:v>Wholesale of household goods - 464</c:v>
                </c:pt>
                <c:pt idx="5">
                  <c:v>Construction of residential and non-residential buildings - 412</c:v>
                </c:pt>
                <c:pt idx="6">
                  <c:v>Retail sale of other goods in specialised stores - 477</c:v>
                </c:pt>
                <c:pt idx="7">
                  <c:v>Hotels and similar accommodation - 551</c:v>
                </c:pt>
                <c:pt idx="8">
                  <c:v>Construction of roads and railways - 421</c:v>
                </c:pt>
                <c:pt idx="9">
                  <c:v>Wholesale of food, beverages and tobacco - 463</c:v>
                </c:pt>
              </c:strCache>
            </c:strRef>
          </c:cat>
          <c:val>
            <c:numRef>
              <c:f>'ORBIS SALES'!$W$88:$W$97</c:f>
              <c:numCache>
                <c:formatCode>0.0%</c:formatCode>
                <c:ptCount val="10"/>
                <c:pt idx="0">
                  <c:v>0.14217669128175453</c:v>
                </c:pt>
                <c:pt idx="1">
                  <c:v>7.2307315373541597E-2</c:v>
                </c:pt>
                <c:pt idx="2">
                  <c:v>5.753208127832584E-2</c:v>
                </c:pt>
                <c:pt idx="3">
                  <c:v>5.2329546343758679E-2</c:v>
                </c:pt>
                <c:pt idx="4">
                  <c:v>4.9848272846085277E-2</c:v>
                </c:pt>
                <c:pt idx="5">
                  <c:v>5.1425523548704076E-2</c:v>
                </c:pt>
                <c:pt idx="6">
                  <c:v>3.5026032945265226E-2</c:v>
                </c:pt>
                <c:pt idx="7">
                  <c:v>1.371355343431759E-2</c:v>
                </c:pt>
                <c:pt idx="8">
                  <c:v>2.1229363201224413E-2</c:v>
                </c:pt>
                <c:pt idx="9">
                  <c:v>2.1016947862797078E-2</c:v>
                </c:pt>
              </c:numCache>
            </c:numRef>
          </c:val>
          <c:extLst>
            <c:ext xmlns:c16="http://schemas.microsoft.com/office/drawing/2014/chart" uri="{C3380CC4-5D6E-409C-BE32-E72D297353CC}">
              <c16:uniqueId val="{00000002-BA52-4216-9750-931278ED48C7}"/>
            </c:ext>
          </c:extLst>
        </c:ser>
        <c:ser>
          <c:idx val="3"/>
          <c:order val="3"/>
          <c:tx>
            <c:strRef>
              <c:f>'ORBIS SALES'!$X$87</c:f>
              <c:strCache>
                <c:ptCount val="1"/>
                <c:pt idx="0">
                  <c:v>2021</c:v>
                </c:pt>
              </c:strCache>
            </c:strRef>
          </c:tx>
          <c:spPr>
            <a:solidFill>
              <a:schemeClr val="accent4"/>
            </a:solidFill>
            <a:ln>
              <a:noFill/>
            </a:ln>
            <a:effectLst/>
          </c:spPr>
          <c:invertIfNegative val="0"/>
          <c:cat>
            <c:strRef>
              <c:f>'ORBIS SALES'!$T$88:$T$97</c:f>
              <c:strCache>
                <c:ptCount val="10"/>
                <c:pt idx="0">
                  <c:v>Non-specialised wholesale trade- 469</c:v>
                </c:pt>
                <c:pt idx="1">
                  <c:v>Electric power generation, transmission and distribution - 351</c:v>
                </c:pt>
                <c:pt idx="2">
                  <c:v>Retail sale in non-specialised stores - 471</c:v>
                </c:pt>
                <c:pt idx="3">
                  <c:v>Other specialized wholesale - 467</c:v>
                </c:pt>
                <c:pt idx="4">
                  <c:v>Wholesale of household goods - 464</c:v>
                </c:pt>
                <c:pt idx="5">
                  <c:v>Construction of residential and non-residential buildings - 412</c:v>
                </c:pt>
                <c:pt idx="6">
                  <c:v>Retail sale of other goods in specialised stores - 477</c:v>
                </c:pt>
                <c:pt idx="7">
                  <c:v>Hotels and similar accommodation - 551</c:v>
                </c:pt>
                <c:pt idx="8">
                  <c:v>Construction of roads and railways - 421</c:v>
                </c:pt>
                <c:pt idx="9">
                  <c:v>Wholesale of food, beverages and tobacco - 463</c:v>
                </c:pt>
              </c:strCache>
            </c:strRef>
          </c:cat>
          <c:val>
            <c:numRef>
              <c:f>'ORBIS SALES'!$X$88:$X$97</c:f>
              <c:numCache>
                <c:formatCode>0.0%</c:formatCode>
                <c:ptCount val="10"/>
                <c:pt idx="0">
                  <c:v>0.14778919505220772</c:v>
                </c:pt>
                <c:pt idx="1">
                  <c:v>7.1927308657113789E-2</c:v>
                </c:pt>
                <c:pt idx="2">
                  <c:v>5.7841550582182329E-2</c:v>
                </c:pt>
                <c:pt idx="3">
                  <c:v>4.4691046926555351E-2</c:v>
                </c:pt>
                <c:pt idx="4">
                  <c:v>5.0969859627687034E-2</c:v>
                </c:pt>
                <c:pt idx="5">
                  <c:v>3.2184188447131001E-2</c:v>
                </c:pt>
                <c:pt idx="6">
                  <c:v>3.4397955144014385E-2</c:v>
                </c:pt>
                <c:pt idx="7">
                  <c:v>2.6378504665143205E-2</c:v>
                </c:pt>
                <c:pt idx="8">
                  <c:v>1.7967853040541874E-2</c:v>
                </c:pt>
                <c:pt idx="9">
                  <c:v>2.3149276450974775E-2</c:v>
                </c:pt>
              </c:numCache>
            </c:numRef>
          </c:val>
          <c:extLst>
            <c:ext xmlns:c16="http://schemas.microsoft.com/office/drawing/2014/chart" uri="{C3380CC4-5D6E-409C-BE32-E72D297353CC}">
              <c16:uniqueId val="{00000003-BA52-4216-9750-931278ED48C7}"/>
            </c:ext>
          </c:extLst>
        </c:ser>
        <c:ser>
          <c:idx val="4"/>
          <c:order val="4"/>
          <c:tx>
            <c:strRef>
              <c:f>'ORBIS SALES'!$Y$87</c:f>
              <c:strCache>
                <c:ptCount val="1"/>
                <c:pt idx="0">
                  <c:v>2022</c:v>
                </c:pt>
              </c:strCache>
            </c:strRef>
          </c:tx>
          <c:spPr>
            <a:solidFill>
              <a:schemeClr val="accent5"/>
            </a:solidFill>
            <a:ln>
              <a:noFill/>
            </a:ln>
            <a:effectLst/>
          </c:spPr>
          <c:invertIfNegative val="0"/>
          <c:cat>
            <c:strRef>
              <c:f>'ORBIS SALES'!$T$88:$T$97</c:f>
              <c:strCache>
                <c:ptCount val="10"/>
                <c:pt idx="0">
                  <c:v>Non-specialised wholesale trade- 469</c:v>
                </c:pt>
                <c:pt idx="1">
                  <c:v>Electric power generation, transmission and distribution - 351</c:v>
                </c:pt>
                <c:pt idx="2">
                  <c:v>Retail sale in non-specialised stores - 471</c:v>
                </c:pt>
                <c:pt idx="3">
                  <c:v>Other specialized wholesale - 467</c:v>
                </c:pt>
                <c:pt idx="4">
                  <c:v>Wholesale of household goods - 464</c:v>
                </c:pt>
                <c:pt idx="5">
                  <c:v>Construction of residential and non-residential buildings - 412</c:v>
                </c:pt>
                <c:pt idx="6">
                  <c:v>Retail sale of other goods in specialised stores - 477</c:v>
                </c:pt>
                <c:pt idx="7">
                  <c:v>Hotels and similar accommodation - 551</c:v>
                </c:pt>
                <c:pt idx="8">
                  <c:v>Construction of roads and railways - 421</c:v>
                </c:pt>
                <c:pt idx="9">
                  <c:v>Wholesale of food, beverages and tobacco - 463</c:v>
                </c:pt>
              </c:strCache>
            </c:strRef>
          </c:cat>
          <c:val>
            <c:numRef>
              <c:f>'ORBIS SALES'!$Y$88:$Y$97</c:f>
              <c:numCache>
                <c:formatCode>0.0%</c:formatCode>
                <c:ptCount val="10"/>
                <c:pt idx="0">
                  <c:v>0.13603257457583101</c:v>
                </c:pt>
                <c:pt idx="1">
                  <c:v>7.7150246819476201E-2</c:v>
                </c:pt>
                <c:pt idx="2">
                  <c:v>6.1469654025672338E-2</c:v>
                </c:pt>
                <c:pt idx="3">
                  <c:v>4.8841242603389026E-2</c:v>
                </c:pt>
                <c:pt idx="4">
                  <c:v>4.7218013587551094E-2</c:v>
                </c:pt>
                <c:pt idx="5">
                  <c:v>3.7418397822376208E-2</c:v>
                </c:pt>
                <c:pt idx="6">
                  <c:v>3.3666949296008435E-2</c:v>
                </c:pt>
                <c:pt idx="7">
                  <c:v>3.1340125784194865E-2</c:v>
                </c:pt>
                <c:pt idx="8">
                  <c:v>1.6134748781773026E-2</c:v>
                </c:pt>
                <c:pt idx="9">
                  <c:v>2.3794083127092233E-2</c:v>
                </c:pt>
              </c:numCache>
            </c:numRef>
          </c:val>
          <c:extLst>
            <c:ext xmlns:c16="http://schemas.microsoft.com/office/drawing/2014/chart" uri="{C3380CC4-5D6E-409C-BE32-E72D297353CC}">
              <c16:uniqueId val="{00000004-BA52-4216-9750-931278ED48C7}"/>
            </c:ext>
          </c:extLst>
        </c:ser>
        <c:dLbls>
          <c:showLegendKey val="0"/>
          <c:showVal val="0"/>
          <c:showCatName val="0"/>
          <c:showSerName val="0"/>
          <c:showPercent val="0"/>
          <c:showBubbleSize val="0"/>
        </c:dLbls>
        <c:gapWidth val="182"/>
        <c:axId val="592918639"/>
        <c:axId val="592919119"/>
      </c:barChart>
      <c:catAx>
        <c:axId val="592918639"/>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Times New Roman" panose="02020603050405020304" pitchFamily="18" charset="0"/>
              </a:defRPr>
            </a:pPr>
            <a:endParaRPr lang="en-IT"/>
          </a:p>
        </c:txPr>
        <c:crossAx val="592919119"/>
        <c:crosses val="autoZero"/>
        <c:auto val="1"/>
        <c:lblAlgn val="ctr"/>
        <c:lblOffset val="100"/>
        <c:noMultiLvlLbl val="0"/>
      </c:catAx>
      <c:valAx>
        <c:axId val="592919119"/>
        <c:scaling>
          <c:orientation val="minMax"/>
        </c:scaling>
        <c:delete val="0"/>
        <c:axPos val="b"/>
        <c:majorGridlines>
          <c:spPr>
            <a:ln w="9525" cap="flat" cmpd="sng" algn="ctr">
              <a:solidFill>
                <a:schemeClr val="tx1">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n-lt"/>
                <a:ea typeface="+mn-ea"/>
                <a:cs typeface="Times New Roman" panose="02020603050405020304" pitchFamily="18" charset="0"/>
              </a:defRPr>
            </a:pPr>
            <a:endParaRPr lang="en-IT"/>
          </a:p>
        </c:txPr>
        <c:crossAx val="592918639"/>
        <c:crosses val="autoZero"/>
        <c:crossBetween val="between"/>
      </c:valAx>
      <c:spPr>
        <a:noFill/>
        <a:ln>
          <a:noFill/>
        </a:ln>
        <a:effectLst/>
      </c:spPr>
    </c:plotArea>
    <c:legend>
      <c:legendPos val="t"/>
      <c:layout>
        <c:manualLayout>
          <c:xMode val="edge"/>
          <c:yMode val="edge"/>
          <c:x val="0.32380262004184429"/>
          <c:y val="2.2874571101791842E-2"/>
          <c:w val="0.35680490324596964"/>
          <c:h val="6.0485529282152728E-2"/>
        </c:manualLayout>
      </c:layout>
      <c:overlay val="0"/>
      <c:spPr>
        <a:noFill/>
        <a:ln>
          <a:noFill/>
        </a:ln>
        <a:effectLst/>
      </c:spPr>
      <c:txPr>
        <a:bodyPr rot="0" spcFirstLastPara="1" vertOverflow="ellipsis" vert="horz" wrap="square" anchor="ctr" anchorCtr="1"/>
        <a:lstStyle/>
        <a:p>
          <a:pPr>
            <a:defRPr sz="800" b="0" i="0" u="none" strike="noStrike" kern="1200" baseline="0">
              <a:solidFill>
                <a:sysClr val="windowText" lastClr="000000"/>
              </a:solidFill>
              <a:latin typeface="+mn-lt"/>
              <a:ea typeface="+mn-ea"/>
              <a:cs typeface="Times New Roman" panose="02020603050405020304" pitchFamily="18" charset="0"/>
            </a:defRPr>
          </a:pPr>
          <a:endParaRPr lang="en-IT"/>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solidFill>
            <a:sysClr val="windowText" lastClr="000000"/>
          </a:solidFill>
          <a:latin typeface="Times New Roman" panose="02020603050405020304" pitchFamily="18" charset="0"/>
          <a:cs typeface="Times New Roman" panose="02020603050405020304" pitchFamily="18" charset="0"/>
        </a:defRPr>
      </a:pPr>
      <a:endParaRPr lang="en-IT"/>
    </a:p>
  </c:txPr>
  <c:externalData r:id="rId3">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'Total export'!$B$1</c:f>
              <c:strCache>
                <c:ptCount val="1"/>
                <c:pt idx="0">
                  <c:v>Export</c:v>
                </c:pt>
              </c:strCache>
            </c:strRef>
          </c:tx>
          <c:spPr>
            <a:ln w="28575" cap="rnd">
              <a:solidFill>
                <a:schemeClr val="accent1"/>
              </a:solidFill>
              <a:round/>
            </a:ln>
            <a:effectLst/>
          </c:spPr>
          <c:marker>
            <c:symbol val="none"/>
          </c:marker>
          <c:dLbls>
            <c:dLbl>
              <c:idx val="0"/>
              <c:layout>
                <c:manualLayout>
                  <c:x val="-1.6431924882629109E-2"/>
                  <c:y val="-5.4644808743169397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1DAE-4E2C-8DD5-0CFA7A4D807B}"/>
                </c:ext>
              </c:extLst>
            </c:dLbl>
            <c:dLbl>
              <c:idx val="1"/>
              <c:layout>
                <c:manualLayout>
                  <c:x val="-2.3474178403756082E-3"/>
                  <c:y val="-3.7831021437578813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1DAE-4E2C-8DD5-0CFA7A4D807B}"/>
                </c:ext>
              </c:extLst>
            </c:dLbl>
            <c:dLbl>
              <c:idx val="2"/>
              <c:layout>
                <c:manualLayout>
                  <c:x val="0"/>
                  <c:y val="-2.5220680958385876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1DAE-4E2C-8DD5-0CFA7A4D807B}"/>
                </c:ext>
              </c:extLst>
            </c:dLbl>
            <c:dLbl>
              <c:idx val="3"/>
              <c:layout>
                <c:manualLayout>
                  <c:x val="0"/>
                  <c:y val="3.3627574611181092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1DAE-4E2C-8DD5-0CFA7A4D807B}"/>
                </c:ext>
              </c:extLst>
            </c:dLbl>
            <c:dLbl>
              <c:idx val="4"/>
              <c:layout>
                <c:manualLayout>
                  <c:x val="2.3474178403755869E-3"/>
                  <c:y val="1.6813787305590508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1DAE-4E2C-8DD5-0CFA7A4D807B}"/>
                </c:ext>
              </c:extLst>
            </c:dLbl>
            <c:dLbl>
              <c:idx val="5"/>
              <c:layout>
                <c:manualLayout>
                  <c:x val="2.3474178403755869E-3"/>
                  <c:y val="1.6813787305590584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1DAE-4E2C-8DD5-0CFA7A4D807B}"/>
                </c:ext>
              </c:extLst>
            </c:dLbl>
            <c:dLbl>
              <c:idx val="6"/>
              <c:layout>
                <c:manualLayout>
                  <c:x val="-2.3474178403756728E-3"/>
                  <c:y val="-6.7255149222362337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1DAE-4E2C-8DD5-0CFA7A4D807B}"/>
                </c:ext>
              </c:extLst>
            </c:dLbl>
            <c:dLbl>
              <c:idx val="7"/>
              <c:layout>
                <c:manualLayout>
                  <c:x val="-4.6948356807511738E-3"/>
                  <c:y val="-7.5662042875157626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1DAE-4E2C-8DD5-0CFA7A4D807B}"/>
                </c:ext>
              </c:extLst>
            </c:dLbl>
            <c:dLbl>
              <c:idx val="10"/>
              <c:layout>
                <c:manualLayout>
                  <c:x val="-4.4600938967136149E-2"/>
                  <c:y val="-4.2034468263976464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1DAE-4E2C-8DD5-0CFA7A4D807B}"/>
                </c:ext>
              </c:extLst>
            </c:dLbl>
            <c:dLbl>
              <c:idx val="11"/>
              <c:layout>
                <c:manualLayout>
                  <c:x val="-2.8169014084507213E-2"/>
                  <c:y val="-4.6237915090374143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9-1DAE-4E2C-8DD5-0CFA7A4D807B}"/>
                </c:ext>
              </c:extLst>
            </c:dLbl>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mn-lt"/>
                    <a:ea typeface="+mn-ea"/>
                    <a:cs typeface="Times New Roman" panose="02020603050405020304" pitchFamily="18" charset="0"/>
                  </a:defRPr>
                </a:pPr>
                <a:endParaRPr lang="en-IT"/>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'Total export'!$A$2:$A$13</c:f>
              <c:numCache>
                <c:formatCode>General</c:formatCode>
                <c:ptCount val="12"/>
                <c:pt idx="0">
                  <c:v>2012</c:v>
                </c:pt>
                <c:pt idx="1">
                  <c:v>2013</c:v>
                </c:pt>
                <c:pt idx="2">
                  <c:v>2014</c:v>
                </c:pt>
                <c:pt idx="3">
                  <c:v>2015</c:v>
                </c:pt>
                <c:pt idx="4">
                  <c:v>2016</c:v>
                </c:pt>
                <c:pt idx="5">
                  <c:v>2017</c:v>
                </c:pt>
                <c:pt idx="6">
                  <c:v>2018</c:v>
                </c:pt>
                <c:pt idx="7">
                  <c:v>2019</c:v>
                </c:pt>
                <c:pt idx="8">
                  <c:v>2020</c:v>
                </c:pt>
                <c:pt idx="9">
                  <c:v>2021</c:v>
                </c:pt>
                <c:pt idx="10">
                  <c:v>2022</c:v>
                </c:pt>
                <c:pt idx="11">
                  <c:v>2023</c:v>
                </c:pt>
              </c:numCache>
            </c:numRef>
          </c:cat>
          <c:val>
            <c:numRef>
              <c:f>'Total export'!$B$2:$B$13</c:f>
              <c:numCache>
                <c:formatCode>0</c:formatCode>
                <c:ptCount val="12"/>
                <c:pt idx="0">
                  <c:v>468.78833100000003</c:v>
                </c:pt>
                <c:pt idx="1">
                  <c:v>494.375744</c:v>
                </c:pt>
                <c:pt idx="2">
                  <c:v>440.65874100000002</c:v>
                </c:pt>
                <c:pt idx="3">
                  <c:v>353.07951200000002</c:v>
                </c:pt>
                <c:pt idx="4">
                  <c:v>355.06037300000003</c:v>
                </c:pt>
                <c:pt idx="5">
                  <c:v>420.87088699999998</c:v>
                </c:pt>
                <c:pt idx="6">
                  <c:v>465.99735700000002</c:v>
                </c:pt>
                <c:pt idx="7">
                  <c:v>463.20227899999998</c:v>
                </c:pt>
                <c:pt idx="8">
                  <c:v>409.84558500000003</c:v>
                </c:pt>
                <c:pt idx="9">
                  <c:v>515.91630299999997</c:v>
                </c:pt>
                <c:pt idx="10">
                  <c:v>736.36412700000005</c:v>
                </c:pt>
                <c:pt idx="11">
                  <c:v>722.52023199999996</c:v>
                </c:pt>
              </c:numCache>
            </c:numRef>
          </c:val>
          <c:smooth val="0"/>
          <c:extLst>
            <c:ext xmlns:c16="http://schemas.microsoft.com/office/drawing/2014/chart" uri="{C3380CC4-5D6E-409C-BE32-E72D297353CC}">
              <c16:uniqueId val="{0000000A-1DAE-4E2C-8DD5-0CFA7A4D807B}"/>
            </c:ext>
          </c:extLst>
        </c:ser>
        <c:dLbls>
          <c:showLegendKey val="0"/>
          <c:showVal val="0"/>
          <c:showCatName val="0"/>
          <c:showSerName val="0"/>
          <c:showPercent val="0"/>
          <c:showBubbleSize val="0"/>
        </c:dLbls>
        <c:smooth val="0"/>
        <c:axId val="264148832"/>
        <c:axId val="264161312"/>
      </c:lineChart>
      <c:catAx>
        <c:axId val="26414883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Times New Roman" panose="02020603050405020304" pitchFamily="18" charset="0"/>
              </a:defRPr>
            </a:pPr>
            <a:endParaRPr lang="en-IT"/>
          </a:p>
        </c:txPr>
        <c:crossAx val="264161312"/>
        <c:crosses val="autoZero"/>
        <c:auto val="1"/>
        <c:lblAlgn val="ctr"/>
        <c:lblOffset val="100"/>
        <c:noMultiLvlLbl val="0"/>
      </c:catAx>
      <c:valAx>
        <c:axId val="264161312"/>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Times New Roman" panose="02020603050405020304" pitchFamily="18" charset="0"/>
              </a:defRPr>
            </a:pPr>
            <a:endParaRPr lang="en-IT"/>
          </a:p>
        </c:txPr>
        <c:crossAx val="264148832"/>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solidFill>
            <a:sysClr val="windowText" lastClr="000000"/>
          </a:solidFill>
          <a:latin typeface="+mn-lt"/>
          <a:cs typeface="Times New Roman" panose="02020603050405020304" pitchFamily="18" charset="0"/>
        </a:defRPr>
      </a:pPr>
      <a:endParaRPr lang="en-IT"/>
    </a:p>
  </c:txPr>
  <c:externalData r:id="rId3">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Foglio2!$B$1</c:f>
              <c:strCache>
                <c:ptCount val="1"/>
                <c:pt idx="0">
                  <c:v>Export</c:v>
                </c:pt>
              </c:strCache>
            </c:strRef>
          </c:tx>
          <c:spPr>
            <a:solidFill>
              <a:schemeClr val="accent1"/>
            </a:solidFill>
            <a:ln cmpd="sng">
              <a:solidFill>
                <a:schemeClr val="accent1"/>
              </a:solidFill>
            </a:ln>
            <a:effectLst/>
          </c:spPr>
          <c:invertIfNegative val="0"/>
          <c:cat>
            <c:strRef>
              <c:f>Foglio2!$A$2:$A$11</c:f>
              <c:strCache>
                <c:ptCount val="10"/>
                <c:pt idx="0">
                  <c:v>87-Vehicles; other than railway or tramway…</c:v>
                </c:pt>
                <c:pt idx="1">
                  <c:v>84-Boilers, machinery and mechanical appliances…</c:v>
                </c:pt>
                <c:pt idx="2">
                  <c:v>76-Aluminium and articles thereof</c:v>
                </c:pt>
                <c:pt idx="3">
                  <c:v>72-Iron and steel</c:v>
                </c:pt>
                <c:pt idx="4">
                  <c:v>44-Wood and articles of wood; wood charcoal</c:v>
                </c:pt>
                <c:pt idx="5">
                  <c:v>30-Pharmaceutical products</c:v>
                </c:pt>
                <c:pt idx="6">
                  <c:v>27-Mineral fuels, mineral oils and products of their distillation…</c:v>
                </c:pt>
                <c:pt idx="7">
                  <c:v>26-Ores, slag and ash</c:v>
                </c:pt>
                <c:pt idx="8">
                  <c:v>22-Beverages, spirits and vinegar</c:v>
                </c:pt>
                <c:pt idx="9">
                  <c:v>02-Meat and edible meat offal</c:v>
                </c:pt>
              </c:strCache>
            </c:strRef>
          </c:cat>
          <c:val>
            <c:numRef>
              <c:f>Foglio2!$B$2:$B$11</c:f>
              <c:numCache>
                <c:formatCode>0%</c:formatCode>
                <c:ptCount val="10"/>
                <c:pt idx="0">
                  <c:v>2.6198937195605197E-2</c:v>
                </c:pt>
                <c:pt idx="1">
                  <c:v>4.6140216028486523E-2</c:v>
                </c:pt>
                <c:pt idx="2">
                  <c:v>0.18298561439669744</c:v>
                </c:pt>
                <c:pt idx="3">
                  <c:v>3.5403974209102136E-2</c:v>
                </c:pt>
                <c:pt idx="4">
                  <c:v>7.8451916217593218E-2</c:v>
                </c:pt>
                <c:pt idx="5">
                  <c:v>5.5992583833866842E-2</c:v>
                </c:pt>
                <c:pt idx="6">
                  <c:v>0.26283385970077777</c:v>
                </c:pt>
                <c:pt idx="7">
                  <c:v>5.3170069231326701E-2</c:v>
                </c:pt>
                <c:pt idx="8">
                  <c:v>4.3321999374337353E-2</c:v>
                </c:pt>
                <c:pt idx="9">
                  <c:v>3.0623403320368489E-2</c:v>
                </c:pt>
              </c:numCache>
            </c:numRef>
          </c:val>
          <c:extLst>
            <c:ext xmlns:c16="http://schemas.microsoft.com/office/drawing/2014/chart" uri="{C3380CC4-5D6E-409C-BE32-E72D297353CC}">
              <c16:uniqueId val="{00000000-7009-4597-8D5D-A56604CB6B75}"/>
            </c:ext>
          </c:extLst>
        </c:ser>
        <c:dLbls>
          <c:showLegendKey val="0"/>
          <c:showVal val="0"/>
          <c:showCatName val="0"/>
          <c:showSerName val="0"/>
          <c:showPercent val="0"/>
          <c:showBubbleSize val="0"/>
        </c:dLbls>
        <c:gapWidth val="210"/>
        <c:axId val="264171056"/>
        <c:axId val="264165776"/>
      </c:barChart>
      <c:catAx>
        <c:axId val="264171056"/>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Times New Roman" panose="02020603050405020304" pitchFamily="18" charset="0"/>
              </a:defRPr>
            </a:pPr>
            <a:endParaRPr lang="en-IT"/>
          </a:p>
        </c:txPr>
        <c:crossAx val="264165776"/>
        <c:crosses val="autoZero"/>
        <c:auto val="1"/>
        <c:lblAlgn val="ctr"/>
        <c:lblOffset val="100"/>
        <c:noMultiLvlLbl val="0"/>
      </c:catAx>
      <c:valAx>
        <c:axId val="264165776"/>
        <c:scaling>
          <c:orientation val="minMax"/>
        </c:scaling>
        <c:delete val="0"/>
        <c:axPos val="b"/>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n-lt"/>
                <a:ea typeface="+mn-ea"/>
                <a:cs typeface="Times New Roman" panose="02020603050405020304" pitchFamily="18" charset="0"/>
              </a:defRPr>
            </a:pPr>
            <a:endParaRPr lang="en-IT"/>
          </a:p>
        </c:txPr>
        <c:crossAx val="264171056"/>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1000">
          <a:solidFill>
            <a:sysClr val="windowText" lastClr="000000"/>
          </a:solidFill>
          <a:latin typeface="Times New Roman" panose="02020603050405020304" pitchFamily="18" charset="0"/>
          <a:cs typeface="Times New Roman" panose="02020603050405020304" pitchFamily="18" charset="0"/>
        </a:defRPr>
      </a:pPr>
      <a:endParaRPr lang="en-IT"/>
    </a:p>
  </c:txPr>
  <c:externalData r:id="rId3">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Foglio2!$A$21</c:f>
              <c:strCache>
                <c:ptCount val="1"/>
                <c:pt idx="0">
                  <c:v>27-Mineral fuels, mineral oils and products of their distillation…</c:v>
                </c:pt>
              </c:strCache>
            </c:strRef>
          </c:tx>
          <c:spPr>
            <a:ln w="28575" cap="rnd">
              <a:solidFill>
                <a:schemeClr val="accent1"/>
              </a:solidFill>
              <a:round/>
            </a:ln>
            <a:effectLst/>
          </c:spPr>
          <c:marker>
            <c:symbol val="none"/>
          </c:marker>
          <c:cat>
            <c:numRef>
              <c:f>Foglio2!$B$20:$F$20</c:f>
              <c:numCache>
                <c:formatCode>0</c:formatCode>
                <c:ptCount val="5"/>
                <c:pt idx="0">
                  <c:v>2019</c:v>
                </c:pt>
                <c:pt idx="1">
                  <c:v>2020</c:v>
                </c:pt>
                <c:pt idx="2">
                  <c:v>2021</c:v>
                </c:pt>
                <c:pt idx="3">
                  <c:v>2022</c:v>
                </c:pt>
                <c:pt idx="4">
                  <c:v>2023</c:v>
                </c:pt>
              </c:numCache>
            </c:numRef>
          </c:cat>
          <c:val>
            <c:numRef>
              <c:f>Foglio2!$B$21:$F$21</c:f>
              <c:numCache>
                <c:formatCode>General</c:formatCode>
                <c:ptCount val="5"/>
                <c:pt idx="0">
                  <c:v>99.167663563999994</c:v>
                </c:pt>
                <c:pt idx="1">
                  <c:v>68.232992263</c:v>
                </c:pt>
                <c:pt idx="2">
                  <c:v>95.570907930999994</c:v>
                </c:pt>
                <c:pt idx="3">
                  <c:v>220.71756841600001</c:v>
                </c:pt>
                <c:pt idx="4">
                  <c:v>264.82188836699999</c:v>
                </c:pt>
              </c:numCache>
            </c:numRef>
          </c:val>
          <c:smooth val="0"/>
          <c:extLst>
            <c:ext xmlns:c16="http://schemas.microsoft.com/office/drawing/2014/chart" uri="{C3380CC4-5D6E-409C-BE32-E72D297353CC}">
              <c16:uniqueId val="{00000000-BEEA-438C-B599-BFA9D61A1B4C}"/>
            </c:ext>
          </c:extLst>
        </c:ser>
        <c:ser>
          <c:idx val="1"/>
          <c:order val="1"/>
          <c:tx>
            <c:strRef>
              <c:f>Foglio2!$A$22</c:f>
              <c:strCache>
                <c:ptCount val="1"/>
                <c:pt idx="0">
                  <c:v>76-Aluminium and articles thereof</c:v>
                </c:pt>
              </c:strCache>
            </c:strRef>
          </c:tx>
          <c:spPr>
            <a:ln w="28575" cap="rnd">
              <a:solidFill>
                <a:schemeClr val="accent2"/>
              </a:solidFill>
              <a:round/>
            </a:ln>
            <a:effectLst/>
          </c:spPr>
          <c:marker>
            <c:symbol val="none"/>
          </c:marker>
          <c:cat>
            <c:numRef>
              <c:f>Foglio2!$B$20:$F$20</c:f>
              <c:numCache>
                <c:formatCode>0</c:formatCode>
                <c:ptCount val="5"/>
                <c:pt idx="0">
                  <c:v>2019</c:v>
                </c:pt>
                <c:pt idx="1">
                  <c:v>2020</c:v>
                </c:pt>
                <c:pt idx="2">
                  <c:v>2021</c:v>
                </c:pt>
                <c:pt idx="3">
                  <c:v>2022</c:v>
                </c:pt>
                <c:pt idx="4">
                  <c:v>2023</c:v>
                </c:pt>
              </c:numCache>
            </c:numRef>
          </c:cat>
          <c:val>
            <c:numRef>
              <c:f>Foglio2!$B$22:$F$22</c:f>
              <c:numCache>
                <c:formatCode>General</c:formatCode>
                <c:ptCount val="5"/>
                <c:pt idx="0">
                  <c:v>75.367569995000011</c:v>
                </c:pt>
                <c:pt idx="1">
                  <c:v>67.393153040000001</c:v>
                </c:pt>
                <c:pt idx="2">
                  <c:v>104.29663868799999</c:v>
                </c:pt>
                <c:pt idx="3">
                  <c:v>189.593304733</c:v>
                </c:pt>
                <c:pt idx="4">
                  <c:v>84.464646207000001</c:v>
                </c:pt>
              </c:numCache>
            </c:numRef>
          </c:val>
          <c:smooth val="0"/>
          <c:extLst>
            <c:ext xmlns:c16="http://schemas.microsoft.com/office/drawing/2014/chart" uri="{C3380CC4-5D6E-409C-BE32-E72D297353CC}">
              <c16:uniqueId val="{00000001-BEEA-438C-B599-BFA9D61A1B4C}"/>
            </c:ext>
          </c:extLst>
        </c:ser>
        <c:dLbls>
          <c:showLegendKey val="0"/>
          <c:showVal val="0"/>
          <c:showCatName val="0"/>
          <c:showSerName val="0"/>
          <c:showPercent val="0"/>
          <c:showBubbleSize val="0"/>
        </c:dLbls>
        <c:smooth val="0"/>
        <c:axId val="1030497295"/>
        <c:axId val="1030492495"/>
      </c:lineChart>
      <c:catAx>
        <c:axId val="1030497295"/>
        <c:scaling>
          <c:orientation val="minMax"/>
        </c:scaling>
        <c:delete val="0"/>
        <c:axPos val="b"/>
        <c:numFmt formatCode="0"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Times New Roman" panose="02020603050405020304" pitchFamily="18" charset="0"/>
              </a:defRPr>
            </a:pPr>
            <a:endParaRPr lang="en-IT"/>
          </a:p>
        </c:txPr>
        <c:crossAx val="1030492495"/>
        <c:crosses val="autoZero"/>
        <c:auto val="1"/>
        <c:lblAlgn val="ctr"/>
        <c:lblOffset val="100"/>
        <c:noMultiLvlLbl val="0"/>
      </c:catAx>
      <c:valAx>
        <c:axId val="1030492495"/>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n-lt"/>
                <a:ea typeface="+mn-ea"/>
                <a:cs typeface="Times New Roman" panose="02020603050405020304" pitchFamily="18" charset="0"/>
              </a:defRPr>
            </a:pPr>
            <a:endParaRPr lang="en-IT"/>
          </a:p>
        </c:txPr>
        <c:crossAx val="1030497295"/>
        <c:crosses val="autoZero"/>
        <c:crossBetween val="between"/>
      </c:valAx>
      <c:spPr>
        <a:noFill/>
        <a:ln>
          <a:noFill/>
        </a:ln>
        <a:effectLst/>
      </c:spPr>
    </c:plotArea>
    <c:legend>
      <c:legendPos val="b"/>
      <c:layout>
        <c:manualLayout>
          <c:xMode val="edge"/>
          <c:yMode val="edge"/>
          <c:x val="5.0000040853044249E-2"/>
          <c:y val="0.88657289814579632"/>
          <c:w val="0.93735594195272653"/>
          <c:h val="8.3185166370332742E-2"/>
        </c:manualLayout>
      </c:layout>
      <c:overlay val="0"/>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mn-lt"/>
              <a:ea typeface="+mn-ea"/>
              <a:cs typeface="Times New Roman" panose="02020603050405020304" pitchFamily="18" charset="0"/>
            </a:defRPr>
          </a:pPr>
          <a:endParaRPr lang="en-IT"/>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solidFill>
            <a:sysClr val="windowText" lastClr="000000"/>
          </a:solidFill>
          <a:latin typeface="Times New Roman" panose="02020603050405020304" pitchFamily="18" charset="0"/>
          <a:cs typeface="Times New Roman" panose="02020603050405020304" pitchFamily="18" charset="0"/>
        </a:defRPr>
      </a:pPr>
      <a:endParaRPr lang="en-IT"/>
    </a:p>
  </c:txPr>
  <c:externalData r:id="rId3">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'Publications by year'!$B$1</c:f>
              <c:strCache>
                <c:ptCount val="1"/>
                <c:pt idx="0">
                  <c:v>Record Count</c:v>
                </c:pt>
              </c:strCache>
            </c:strRef>
          </c:tx>
          <c:spPr>
            <a:solidFill>
              <a:schemeClr val="accent1"/>
            </a:solidFill>
            <a:ln>
              <a:noFill/>
            </a:ln>
            <a:effectLst/>
          </c:spPr>
          <c:invertIfNegative val="0"/>
          <c:cat>
            <c:numRef>
              <c:f>'Publications by year'!$A$2:$A$15</c:f>
              <c:numCache>
                <c:formatCode>General</c:formatCode>
                <c:ptCount val="14"/>
                <c:pt idx="0">
                  <c:v>2010</c:v>
                </c:pt>
                <c:pt idx="1">
                  <c:v>2011</c:v>
                </c:pt>
                <c:pt idx="2">
                  <c:v>2012</c:v>
                </c:pt>
                <c:pt idx="3">
                  <c:v>2013</c:v>
                </c:pt>
                <c:pt idx="4">
                  <c:v>2014</c:v>
                </c:pt>
                <c:pt idx="5">
                  <c:v>2015</c:v>
                </c:pt>
                <c:pt idx="6">
                  <c:v>2016</c:v>
                </c:pt>
                <c:pt idx="7">
                  <c:v>2017</c:v>
                </c:pt>
                <c:pt idx="8">
                  <c:v>2018</c:v>
                </c:pt>
                <c:pt idx="9">
                  <c:v>2019</c:v>
                </c:pt>
                <c:pt idx="10">
                  <c:v>2020</c:v>
                </c:pt>
                <c:pt idx="11">
                  <c:v>2021</c:v>
                </c:pt>
                <c:pt idx="12">
                  <c:v>2022</c:v>
                </c:pt>
                <c:pt idx="13">
                  <c:v>2023</c:v>
                </c:pt>
              </c:numCache>
            </c:numRef>
          </c:cat>
          <c:val>
            <c:numRef>
              <c:f>'Publications by year'!$B$2:$B$15</c:f>
              <c:numCache>
                <c:formatCode>General</c:formatCode>
                <c:ptCount val="14"/>
                <c:pt idx="0">
                  <c:v>202</c:v>
                </c:pt>
                <c:pt idx="1">
                  <c:v>221</c:v>
                </c:pt>
                <c:pt idx="2">
                  <c:v>252</c:v>
                </c:pt>
                <c:pt idx="3">
                  <c:v>306</c:v>
                </c:pt>
                <c:pt idx="4">
                  <c:v>304</c:v>
                </c:pt>
                <c:pt idx="5">
                  <c:v>484</c:v>
                </c:pt>
                <c:pt idx="6">
                  <c:v>494</c:v>
                </c:pt>
                <c:pt idx="7">
                  <c:v>551</c:v>
                </c:pt>
                <c:pt idx="8">
                  <c:v>558</c:v>
                </c:pt>
                <c:pt idx="9">
                  <c:v>607</c:v>
                </c:pt>
                <c:pt idx="10">
                  <c:v>660</c:v>
                </c:pt>
                <c:pt idx="11">
                  <c:v>682</c:v>
                </c:pt>
                <c:pt idx="12">
                  <c:v>676</c:v>
                </c:pt>
                <c:pt idx="13">
                  <c:v>615</c:v>
                </c:pt>
              </c:numCache>
            </c:numRef>
          </c:val>
          <c:extLst>
            <c:ext xmlns:c16="http://schemas.microsoft.com/office/drawing/2014/chart" uri="{C3380CC4-5D6E-409C-BE32-E72D297353CC}">
              <c16:uniqueId val="{00000000-F110-443A-BC15-028C4EF1A045}"/>
            </c:ext>
          </c:extLst>
        </c:ser>
        <c:dLbls>
          <c:showLegendKey val="0"/>
          <c:showVal val="0"/>
          <c:showCatName val="0"/>
          <c:showSerName val="0"/>
          <c:showPercent val="0"/>
          <c:showBubbleSize val="0"/>
        </c:dLbls>
        <c:gapWidth val="219"/>
        <c:overlap val="-27"/>
        <c:axId val="1014597343"/>
        <c:axId val="1014617503"/>
      </c:barChart>
      <c:catAx>
        <c:axId val="101459734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n-lt"/>
                <a:ea typeface="+mn-ea"/>
                <a:cs typeface="Times New Roman" panose="02020603050405020304" pitchFamily="18" charset="0"/>
              </a:defRPr>
            </a:pPr>
            <a:endParaRPr lang="en-IT"/>
          </a:p>
        </c:txPr>
        <c:crossAx val="1014617503"/>
        <c:crosses val="autoZero"/>
        <c:auto val="1"/>
        <c:lblAlgn val="ctr"/>
        <c:lblOffset val="100"/>
        <c:noMultiLvlLbl val="0"/>
      </c:catAx>
      <c:valAx>
        <c:axId val="1014617503"/>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n-lt"/>
                <a:ea typeface="+mn-ea"/>
                <a:cs typeface="Times New Roman" panose="02020603050405020304" pitchFamily="18" charset="0"/>
              </a:defRPr>
            </a:pPr>
            <a:endParaRPr lang="en-IT"/>
          </a:p>
        </c:txPr>
        <c:crossAx val="1014597343"/>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1000">
          <a:solidFill>
            <a:sysClr val="windowText" lastClr="000000"/>
          </a:solidFill>
          <a:latin typeface="Times New Roman" panose="02020603050405020304" pitchFamily="18" charset="0"/>
          <a:cs typeface="Times New Roman" panose="02020603050405020304" pitchFamily="18" charset="0"/>
        </a:defRPr>
      </a:pPr>
      <a:endParaRPr lang="en-IT"/>
    </a:p>
  </c:txPr>
  <c:externalData r:id="rId3">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'Publications by year'!$G$1</c:f>
              <c:strCache>
                <c:ptCount val="1"/>
                <c:pt idx="0">
                  <c:v>Citations of 69051</c:v>
                </c:pt>
              </c:strCache>
            </c:strRef>
          </c:tx>
          <c:spPr>
            <a:ln w="28575" cap="rnd">
              <a:solidFill>
                <a:schemeClr val="accent1"/>
              </a:solidFill>
              <a:round/>
            </a:ln>
            <a:effectLst/>
          </c:spPr>
          <c:marker>
            <c:symbol val="none"/>
          </c:marker>
          <c:cat>
            <c:numRef>
              <c:f>'Publications by year'!$F$2:$F$15</c:f>
              <c:numCache>
                <c:formatCode>General</c:formatCode>
                <c:ptCount val="14"/>
                <c:pt idx="0">
                  <c:v>2010</c:v>
                </c:pt>
                <c:pt idx="1">
                  <c:v>2011</c:v>
                </c:pt>
                <c:pt idx="2">
                  <c:v>2012</c:v>
                </c:pt>
                <c:pt idx="3">
                  <c:v>2013</c:v>
                </c:pt>
                <c:pt idx="4">
                  <c:v>2014</c:v>
                </c:pt>
                <c:pt idx="5">
                  <c:v>2015</c:v>
                </c:pt>
                <c:pt idx="6">
                  <c:v>2016</c:v>
                </c:pt>
                <c:pt idx="7">
                  <c:v>2017</c:v>
                </c:pt>
                <c:pt idx="8">
                  <c:v>2018</c:v>
                </c:pt>
                <c:pt idx="9">
                  <c:v>2019</c:v>
                </c:pt>
                <c:pt idx="10">
                  <c:v>2020</c:v>
                </c:pt>
                <c:pt idx="11">
                  <c:v>2021</c:v>
                </c:pt>
                <c:pt idx="12">
                  <c:v>2022</c:v>
                </c:pt>
                <c:pt idx="13">
                  <c:v>2023</c:v>
                </c:pt>
              </c:numCache>
            </c:numRef>
          </c:cat>
          <c:val>
            <c:numRef>
              <c:f>'Publications by year'!$G$2:$G$15</c:f>
              <c:numCache>
                <c:formatCode>General</c:formatCode>
                <c:ptCount val="14"/>
                <c:pt idx="0">
                  <c:v>74</c:v>
                </c:pt>
                <c:pt idx="1">
                  <c:v>227</c:v>
                </c:pt>
                <c:pt idx="2">
                  <c:v>608</c:v>
                </c:pt>
                <c:pt idx="3" formatCode="#,##0">
                  <c:v>1009</c:v>
                </c:pt>
                <c:pt idx="4" formatCode="#,##0">
                  <c:v>1252</c:v>
                </c:pt>
                <c:pt idx="5" formatCode="#,##0">
                  <c:v>1755</c:v>
                </c:pt>
                <c:pt idx="6" formatCode="#,##0">
                  <c:v>2419</c:v>
                </c:pt>
                <c:pt idx="7" formatCode="#,##0">
                  <c:v>2876</c:v>
                </c:pt>
                <c:pt idx="8" formatCode="#,##0">
                  <c:v>3608</c:v>
                </c:pt>
                <c:pt idx="9" formatCode="#,##0">
                  <c:v>5036</c:v>
                </c:pt>
                <c:pt idx="10" formatCode="#,##0">
                  <c:v>7361</c:v>
                </c:pt>
                <c:pt idx="11" formatCode="#,##0">
                  <c:v>9664</c:v>
                </c:pt>
                <c:pt idx="12" formatCode="#,##0">
                  <c:v>10716</c:v>
                </c:pt>
                <c:pt idx="13" formatCode="#,##0">
                  <c:v>12126</c:v>
                </c:pt>
              </c:numCache>
            </c:numRef>
          </c:val>
          <c:smooth val="0"/>
          <c:extLst>
            <c:ext xmlns:c16="http://schemas.microsoft.com/office/drawing/2014/chart" uri="{C3380CC4-5D6E-409C-BE32-E72D297353CC}">
              <c16:uniqueId val="{00000000-04CD-4C38-8F71-2876A459E7FD}"/>
            </c:ext>
          </c:extLst>
        </c:ser>
        <c:dLbls>
          <c:showLegendKey val="0"/>
          <c:showVal val="0"/>
          <c:showCatName val="0"/>
          <c:showSerName val="0"/>
          <c:showPercent val="0"/>
          <c:showBubbleSize val="0"/>
        </c:dLbls>
        <c:smooth val="0"/>
        <c:axId val="984043488"/>
        <c:axId val="984045888"/>
      </c:lineChart>
      <c:catAx>
        <c:axId val="98404348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n-lt"/>
                <a:ea typeface="+mn-ea"/>
                <a:cs typeface="Times New Roman" panose="02020603050405020304" pitchFamily="18" charset="0"/>
              </a:defRPr>
            </a:pPr>
            <a:endParaRPr lang="en-IT"/>
          </a:p>
        </c:txPr>
        <c:crossAx val="984045888"/>
        <c:crosses val="autoZero"/>
        <c:auto val="1"/>
        <c:lblAlgn val="ctr"/>
        <c:lblOffset val="100"/>
        <c:noMultiLvlLbl val="0"/>
      </c:catAx>
      <c:valAx>
        <c:axId val="98404588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n-lt"/>
                <a:ea typeface="+mn-ea"/>
                <a:cs typeface="Times New Roman" panose="02020603050405020304" pitchFamily="18" charset="0"/>
              </a:defRPr>
            </a:pPr>
            <a:endParaRPr lang="en-IT"/>
          </a:p>
        </c:txPr>
        <c:crossAx val="984043488"/>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1000">
          <a:solidFill>
            <a:sysClr val="windowText" lastClr="000000"/>
          </a:solidFill>
          <a:latin typeface="Times New Roman" panose="02020603050405020304" pitchFamily="18" charset="0"/>
          <a:cs typeface="Times New Roman" panose="02020603050405020304" pitchFamily="18" charset="0"/>
        </a:defRPr>
      </a:pPr>
      <a:endParaRPr lang="en-IT"/>
    </a:p>
  </c:txPr>
  <c:externalData r:id="rId3">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Master!$K$4</c:f>
              <c:strCache>
                <c:ptCount val="1"/>
                <c:pt idx="0">
                  <c:v>Basic studies</c:v>
                </c:pt>
              </c:strCache>
            </c:strRef>
          </c:tx>
          <c:spPr>
            <a:solidFill>
              <a:schemeClr val="accent1"/>
            </a:solidFill>
            <a:ln>
              <a:noFill/>
            </a:ln>
            <a:effectLst/>
          </c:spPr>
          <c:invertIfNegative val="0"/>
          <c:cat>
            <c:numRef>
              <c:f>Master!$L$3:$Q$3</c:f>
              <c:numCache>
                <c:formatCode>General</c:formatCode>
                <c:ptCount val="6"/>
                <c:pt idx="0">
                  <c:v>2018</c:v>
                </c:pt>
                <c:pt idx="1">
                  <c:v>2019</c:v>
                </c:pt>
                <c:pt idx="2">
                  <c:v>2020</c:v>
                </c:pt>
                <c:pt idx="3">
                  <c:v>2021</c:v>
                </c:pt>
                <c:pt idx="4">
                  <c:v>2022</c:v>
                </c:pt>
                <c:pt idx="5">
                  <c:v>2023</c:v>
                </c:pt>
              </c:numCache>
            </c:numRef>
          </c:cat>
          <c:val>
            <c:numRef>
              <c:f>Master!$L$4:$Q$4</c:f>
              <c:numCache>
                <c:formatCode>0</c:formatCode>
                <c:ptCount val="6"/>
                <c:pt idx="0">
                  <c:v>2955</c:v>
                </c:pt>
                <c:pt idx="1">
                  <c:v>2997</c:v>
                </c:pt>
                <c:pt idx="2">
                  <c:v>3044</c:v>
                </c:pt>
                <c:pt idx="3">
                  <c:v>2759</c:v>
                </c:pt>
                <c:pt idx="4">
                  <c:v>2430</c:v>
                </c:pt>
                <c:pt idx="5">
                  <c:v>3084</c:v>
                </c:pt>
              </c:numCache>
            </c:numRef>
          </c:val>
          <c:extLst>
            <c:ext xmlns:c16="http://schemas.microsoft.com/office/drawing/2014/chart" uri="{C3380CC4-5D6E-409C-BE32-E72D297353CC}">
              <c16:uniqueId val="{00000000-8FE8-4871-9296-034506D59F5E}"/>
            </c:ext>
          </c:extLst>
        </c:ser>
        <c:ser>
          <c:idx val="1"/>
          <c:order val="1"/>
          <c:tx>
            <c:strRef>
              <c:f>Master!$K$5</c:f>
              <c:strCache>
                <c:ptCount val="1"/>
                <c:pt idx="0">
                  <c:v>Specialist studies</c:v>
                </c:pt>
              </c:strCache>
            </c:strRef>
          </c:tx>
          <c:spPr>
            <a:solidFill>
              <a:schemeClr val="accent2"/>
            </a:solidFill>
            <a:ln>
              <a:noFill/>
            </a:ln>
            <a:effectLst/>
          </c:spPr>
          <c:invertIfNegative val="0"/>
          <c:cat>
            <c:numRef>
              <c:f>Master!$L$3:$Q$3</c:f>
              <c:numCache>
                <c:formatCode>General</c:formatCode>
                <c:ptCount val="6"/>
                <c:pt idx="0">
                  <c:v>2018</c:v>
                </c:pt>
                <c:pt idx="1">
                  <c:v>2019</c:v>
                </c:pt>
                <c:pt idx="2">
                  <c:v>2020</c:v>
                </c:pt>
                <c:pt idx="3">
                  <c:v>2021</c:v>
                </c:pt>
                <c:pt idx="4">
                  <c:v>2022</c:v>
                </c:pt>
                <c:pt idx="5">
                  <c:v>2023</c:v>
                </c:pt>
              </c:numCache>
            </c:numRef>
          </c:cat>
          <c:val>
            <c:numRef>
              <c:f>Master!$L$5:$Q$5</c:f>
              <c:numCache>
                <c:formatCode>General</c:formatCode>
                <c:ptCount val="6"/>
                <c:pt idx="0">
                  <c:v>1773</c:v>
                </c:pt>
                <c:pt idx="1">
                  <c:v>1796</c:v>
                </c:pt>
                <c:pt idx="2">
                  <c:v>1934</c:v>
                </c:pt>
                <c:pt idx="3">
                  <c:v>1446</c:v>
                </c:pt>
                <c:pt idx="4">
                  <c:v>838</c:v>
                </c:pt>
                <c:pt idx="5">
                  <c:v>746</c:v>
                </c:pt>
              </c:numCache>
            </c:numRef>
          </c:val>
          <c:extLst>
            <c:ext xmlns:c16="http://schemas.microsoft.com/office/drawing/2014/chart" uri="{C3380CC4-5D6E-409C-BE32-E72D297353CC}">
              <c16:uniqueId val="{00000001-8FE8-4871-9296-034506D59F5E}"/>
            </c:ext>
          </c:extLst>
        </c:ser>
        <c:ser>
          <c:idx val="2"/>
          <c:order val="2"/>
          <c:tx>
            <c:strRef>
              <c:f>Master!$K$6</c:f>
              <c:strCache>
                <c:ptCount val="1"/>
                <c:pt idx="0">
                  <c:v>Master studies</c:v>
                </c:pt>
              </c:strCache>
            </c:strRef>
          </c:tx>
          <c:spPr>
            <a:solidFill>
              <a:schemeClr val="accent3"/>
            </a:solidFill>
            <a:ln>
              <a:noFill/>
            </a:ln>
            <a:effectLst/>
          </c:spPr>
          <c:invertIfNegative val="0"/>
          <c:cat>
            <c:numRef>
              <c:f>Master!$L$3:$Q$3</c:f>
              <c:numCache>
                <c:formatCode>General</c:formatCode>
                <c:ptCount val="6"/>
                <c:pt idx="0">
                  <c:v>2018</c:v>
                </c:pt>
                <c:pt idx="1">
                  <c:v>2019</c:v>
                </c:pt>
                <c:pt idx="2">
                  <c:v>2020</c:v>
                </c:pt>
                <c:pt idx="3">
                  <c:v>2021</c:v>
                </c:pt>
                <c:pt idx="4">
                  <c:v>2022</c:v>
                </c:pt>
                <c:pt idx="5">
                  <c:v>2023</c:v>
                </c:pt>
              </c:numCache>
            </c:numRef>
          </c:cat>
          <c:val>
            <c:numRef>
              <c:f>Master!$L$6:$Q$6</c:f>
              <c:numCache>
                <c:formatCode>General</c:formatCode>
                <c:ptCount val="6"/>
                <c:pt idx="0">
                  <c:v>159</c:v>
                </c:pt>
                <c:pt idx="1">
                  <c:v>213</c:v>
                </c:pt>
                <c:pt idx="2">
                  <c:v>234</c:v>
                </c:pt>
                <c:pt idx="3">
                  <c:v>398</c:v>
                </c:pt>
                <c:pt idx="4">
                  <c:v>429</c:v>
                </c:pt>
                <c:pt idx="5">
                  <c:v>668</c:v>
                </c:pt>
              </c:numCache>
            </c:numRef>
          </c:val>
          <c:extLst>
            <c:ext xmlns:c16="http://schemas.microsoft.com/office/drawing/2014/chart" uri="{C3380CC4-5D6E-409C-BE32-E72D297353CC}">
              <c16:uniqueId val="{00000002-8FE8-4871-9296-034506D59F5E}"/>
            </c:ext>
          </c:extLst>
        </c:ser>
        <c:ser>
          <c:idx val="3"/>
          <c:order val="3"/>
          <c:tx>
            <c:strRef>
              <c:f>Master!$K$7</c:f>
              <c:strCache>
                <c:ptCount val="1"/>
                <c:pt idx="0">
                  <c:v>PhD studies</c:v>
                </c:pt>
              </c:strCache>
            </c:strRef>
          </c:tx>
          <c:spPr>
            <a:solidFill>
              <a:schemeClr val="accent4"/>
            </a:solidFill>
            <a:ln>
              <a:noFill/>
            </a:ln>
            <a:effectLst/>
          </c:spPr>
          <c:invertIfNegative val="0"/>
          <c:cat>
            <c:numRef>
              <c:f>Master!$L$3:$Q$3</c:f>
              <c:numCache>
                <c:formatCode>General</c:formatCode>
                <c:ptCount val="6"/>
                <c:pt idx="0">
                  <c:v>2018</c:v>
                </c:pt>
                <c:pt idx="1">
                  <c:v>2019</c:v>
                </c:pt>
                <c:pt idx="2">
                  <c:v>2020</c:v>
                </c:pt>
                <c:pt idx="3">
                  <c:v>2021</c:v>
                </c:pt>
                <c:pt idx="4">
                  <c:v>2022</c:v>
                </c:pt>
                <c:pt idx="5">
                  <c:v>2023</c:v>
                </c:pt>
              </c:numCache>
            </c:numRef>
          </c:cat>
          <c:val>
            <c:numRef>
              <c:f>Master!$L$7:$Q$7</c:f>
              <c:numCache>
                <c:formatCode>General</c:formatCode>
                <c:ptCount val="6"/>
                <c:pt idx="0">
                  <c:v>26</c:v>
                </c:pt>
                <c:pt idx="1">
                  <c:v>20</c:v>
                </c:pt>
                <c:pt idx="2">
                  <c:v>23</c:v>
                </c:pt>
                <c:pt idx="3">
                  <c:v>14</c:v>
                </c:pt>
                <c:pt idx="4">
                  <c:v>27</c:v>
                </c:pt>
                <c:pt idx="5">
                  <c:v>15</c:v>
                </c:pt>
              </c:numCache>
            </c:numRef>
          </c:val>
          <c:extLst>
            <c:ext xmlns:c16="http://schemas.microsoft.com/office/drawing/2014/chart" uri="{C3380CC4-5D6E-409C-BE32-E72D297353CC}">
              <c16:uniqueId val="{00000003-8FE8-4871-9296-034506D59F5E}"/>
            </c:ext>
          </c:extLst>
        </c:ser>
        <c:ser>
          <c:idx val="4"/>
          <c:order val="4"/>
          <c:tx>
            <c:strRef>
              <c:f>Master!$K$8</c:f>
              <c:strCache>
                <c:ptCount val="1"/>
                <c:pt idx="0">
                  <c:v>Total</c:v>
                </c:pt>
              </c:strCache>
            </c:strRef>
          </c:tx>
          <c:spPr>
            <a:solidFill>
              <a:schemeClr val="accent5"/>
            </a:solidFill>
            <a:ln>
              <a:noFill/>
            </a:ln>
            <a:effectLst/>
          </c:spPr>
          <c:invertIfNegative val="0"/>
          <c:cat>
            <c:numRef>
              <c:f>Master!$L$3:$Q$3</c:f>
              <c:numCache>
                <c:formatCode>General</c:formatCode>
                <c:ptCount val="6"/>
                <c:pt idx="0">
                  <c:v>2018</c:v>
                </c:pt>
                <c:pt idx="1">
                  <c:v>2019</c:v>
                </c:pt>
                <c:pt idx="2">
                  <c:v>2020</c:v>
                </c:pt>
                <c:pt idx="3">
                  <c:v>2021</c:v>
                </c:pt>
                <c:pt idx="4">
                  <c:v>2022</c:v>
                </c:pt>
                <c:pt idx="5">
                  <c:v>2023</c:v>
                </c:pt>
              </c:numCache>
            </c:numRef>
          </c:cat>
          <c:val>
            <c:numRef>
              <c:f>Master!$L$8:$Q$8</c:f>
              <c:numCache>
                <c:formatCode>General</c:formatCode>
                <c:ptCount val="6"/>
                <c:pt idx="0">
                  <c:v>6931</c:v>
                </c:pt>
                <c:pt idx="1">
                  <c:v>7045</c:v>
                </c:pt>
                <c:pt idx="2">
                  <c:v>7255</c:v>
                </c:pt>
                <c:pt idx="3">
                  <c:v>6638</c:v>
                </c:pt>
                <c:pt idx="4">
                  <c:v>5746</c:v>
                </c:pt>
                <c:pt idx="5">
                  <c:v>6536</c:v>
                </c:pt>
              </c:numCache>
            </c:numRef>
          </c:val>
          <c:extLst>
            <c:ext xmlns:c16="http://schemas.microsoft.com/office/drawing/2014/chart" uri="{C3380CC4-5D6E-409C-BE32-E72D297353CC}">
              <c16:uniqueId val="{00000004-8FE8-4871-9296-034506D59F5E}"/>
            </c:ext>
          </c:extLst>
        </c:ser>
        <c:dLbls>
          <c:showLegendKey val="0"/>
          <c:showVal val="0"/>
          <c:showCatName val="0"/>
          <c:showSerName val="0"/>
          <c:showPercent val="0"/>
          <c:showBubbleSize val="0"/>
        </c:dLbls>
        <c:gapWidth val="219"/>
        <c:overlap val="-27"/>
        <c:axId val="804423200"/>
        <c:axId val="804416960"/>
      </c:barChart>
      <c:catAx>
        <c:axId val="80442320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n-lt"/>
                <a:ea typeface="+mn-ea"/>
                <a:cs typeface="Times New Roman" panose="02020603050405020304" pitchFamily="18" charset="0"/>
              </a:defRPr>
            </a:pPr>
            <a:endParaRPr lang="en-IT"/>
          </a:p>
        </c:txPr>
        <c:crossAx val="804416960"/>
        <c:crosses val="autoZero"/>
        <c:auto val="1"/>
        <c:lblAlgn val="ctr"/>
        <c:lblOffset val="100"/>
        <c:noMultiLvlLbl val="0"/>
      </c:catAx>
      <c:valAx>
        <c:axId val="804416960"/>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n-lt"/>
                <a:ea typeface="+mn-ea"/>
                <a:cs typeface="Times New Roman" panose="02020603050405020304" pitchFamily="18" charset="0"/>
              </a:defRPr>
            </a:pPr>
            <a:endParaRPr lang="en-IT"/>
          </a:p>
        </c:txPr>
        <c:crossAx val="80442320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800" b="0" i="0" u="none" strike="noStrike" kern="1200" baseline="0">
              <a:solidFill>
                <a:sysClr val="windowText" lastClr="000000"/>
              </a:solidFill>
              <a:latin typeface="+mn-lt"/>
              <a:ea typeface="+mn-ea"/>
              <a:cs typeface="Times New Roman" panose="02020603050405020304" pitchFamily="18" charset="0"/>
            </a:defRPr>
          </a:pPr>
          <a:endParaRPr lang="en-IT"/>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b="1">
          <a:solidFill>
            <a:sysClr val="windowText" lastClr="000000"/>
          </a:solidFill>
          <a:latin typeface="Times New Roman" panose="02020603050405020304" pitchFamily="18" charset="0"/>
          <a:cs typeface="Times New Roman" panose="02020603050405020304" pitchFamily="18" charset="0"/>
        </a:defRPr>
      </a:pPr>
      <a:endParaRPr lang="en-IT"/>
    </a:p>
  </c:txPr>
  <c:externalData r:id="rId3">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Sheet1!$F$12</c:f>
              <c:strCache>
                <c:ptCount val="1"/>
                <c:pt idx="0">
                  <c:v>PUBLIC HIGHER EDUCATION INSTITUTIONS</c:v>
                </c:pt>
              </c:strCache>
            </c:strRef>
          </c:tx>
          <c:spPr>
            <a:solidFill>
              <a:schemeClr val="accent1"/>
            </a:solidFill>
            <a:ln>
              <a:noFill/>
            </a:ln>
            <a:effectLst/>
          </c:spPr>
          <c:invertIfNegative val="0"/>
          <c:cat>
            <c:numRef>
              <c:f>Sheet1!$G$11:$L$11</c:f>
              <c:numCache>
                <c:formatCode>General</c:formatCode>
                <c:ptCount val="6"/>
                <c:pt idx="0">
                  <c:v>2018</c:v>
                </c:pt>
                <c:pt idx="1">
                  <c:v>2019</c:v>
                </c:pt>
                <c:pt idx="2">
                  <c:v>2020</c:v>
                </c:pt>
                <c:pt idx="3">
                  <c:v>2021</c:v>
                </c:pt>
                <c:pt idx="4">
                  <c:v>2022</c:v>
                </c:pt>
                <c:pt idx="5">
                  <c:v>2023</c:v>
                </c:pt>
              </c:numCache>
            </c:numRef>
          </c:cat>
          <c:val>
            <c:numRef>
              <c:f>Sheet1!$G$12:$L$12</c:f>
              <c:numCache>
                <c:formatCode>0</c:formatCode>
                <c:ptCount val="6"/>
                <c:pt idx="0">
                  <c:v>2055</c:v>
                </c:pt>
                <c:pt idx="1">
                  <c:v>2014</c:v>
                </c:pt>
                <c:pt idx="2">
                  <c:v>2052</c:v>
                </c:pt>
                <c:pt idx="3">
                  <c:v>1776</c:v>
                </c:pt>
                <c:pt idx="4">
                  <c:v>1456</c:v>
                </c:pt>
                <c:pt idx="5">
                  <c:v>2156</c:v>
                </c:pt>
              </c:numCache>
            </c:numRef>
          </c:val>
          <c:extLst>
            <c:ext xmlns:c16="http://schemas.microsoft.com/office/drawing/2014/chart" uri="{C3380CC4-5D6E-409C-BE32-E72D297353CC}">
              <c16:uniqueId val="{00000000-1CEA-4121-8698-19768FAA3717}"/>
            </c:ext>
          </c:extLst>
        </c:ser>
        <c:ser>
          <c:idx val="1"/>
          <c:order val="1"/>
          <c:tx>
            <c:strRef>
              <c:f>Sheet1!$F$13</c:f>
              <c:strCache>
                <c:ptCount val="1"/>
                <c:pt idx="0">
                  <c:v>PRIVATE HIGHER EDUCATION INSTITUTIONS</c:v>
                </c:pt>
              </c:strCache>
            </c:strRef>
          </c:tx>
          <c:spPr>
            <a:solidFill>
              <a:schemeClr val="accent2"/>
            </a:solidFill>
            <a:ln>
              <a:noFill/>
            </a:ln>
            <a:effectLst/>
          </c:spPr>
          <c:invertIfNegative val="0"/>
          <c:cat>
            <c:numRef>
              <c:f>Sheet1!$G$11:$L$11</c:f>
              <c:numCache>
                <c:formatCode>General</c:formatCode>
                <c:ptCount val="6"/>
                <c:pt idx="0">
                  <c:v>2018</c:v>
                </c:pt>
                <c:pt idx="1">
                  <c:v>2019</c:v>
                </c:pt>
                <c:pt idx="2">
                  <c:v>2020</c:v>
                </c:pt>
                <c:pt idx="3">
                  <c:v>2021</c:v>
                </c:pt>
                <c:pt idx="4">
                  <c:v>2022</c:v>
                </c:pt>
                <c:pt idx="5">
                  <c:v>2023</c:v>
                </c:pt>
              </c:numCache>
            </c:numRef>
          </c:cat>
          <c:val>
            <c:numRef>
              <c:f>Sheet1!$G$13:$L$13</c:f>
              <c:numCache>
                <c:formatCode>0</c:formatCode>
                <c:ptCount val="6"/>
                <c:pt idx="0">
                  <c:v>900</c:v>
                </c:pt>
                <c:pt idx="1">
                  <c:v>983</c:v>
                </c:pt>
                <c:pt idx="2">
                  <c:v>992</c:v>
                </c:pt>
                <c:pt idx="3">
                  <c:v>983</c:v>
                </c:pt>
                <c:pt idx="4">
                  <c:v>974</c:v>
                </c:pt>
                <c:pt idx="5">
                  <c:v>928</c:v>
                </c:pt>
              </c:numCache>
            </c:numRef>
          </c:val>
          <c:extLst>
            <c:ext xmlns:c16="http://schemas.microsoft.com/office/drawing/2014/chart" uri="{C3380CC4-5D6E-409C-BE32-E72D297353CC}">
              <c16:uniqueId val="{00000001-1CEA-4121-8698-19768FAA3717}"/>
            </c:ext>
          </c:extLst>
        </c:ser>
        <c:ser>
          <c:idx val="2"/>
          <c:order val="2"/>
          <c:tx>
            <c:strRef>
              <c:f>Sheet1!$F$14</c:f>
              <c:strCache>
                <c:ptCount val="1"/>
                <c:pt idx="0">
                  <c:v>TOTAL</c:v>
                </c:pt>
              </c:strCache>
            </c:strRef>
          </c:tx>
          <c:spPr>
            <a:solidFill>
              <a:schemeClr val="accent3"/>
            </a:solidFill>
            <a:ln>
              <a:noFill/>
            </a:ln>
            <a:effectLst/>
          </c:spPr>
          <c:invertIfNegative val="0"/>
          <c:cat>
            <c:numRef>
              <c:f>Sheet1!$G$11:$L$11</c:f>
              <c:numCache>
                <c:formatCode>General</c:formatCode>
                <c:ptCount val="6"/>
                <c:pt idx="0">
                  <c:v>2018</c:v>
                </c:pt>
                <c:pt idx="1">
                  <c:v>2019</c:v>
                </c:pt>
                <c:pt idx="2">
                  <c:v>2020</c:v>
                </c:pt>
                <c:pt idx="3">
                  <c:v>2021</c:v>
                </c:pt>
                <c:pt idx="4">
                  <c:v>2022</c:v>
                </c:pt>
                <c:pt idx="5">
                  <c:v>2023</c:v>
                </c:pt>
              </c:numCache>
            </c:numRef>
          </c:cat>
          <c:val>
            <c:numRef>
              <c:f>Sheet1!$G$14:$L$14</c:f>
              <c:numCache>
                <c:formatCode>0</c:formatCode>
                <c:ptCount val="6"/>
                <c:pt idx="0">
                  <c:v>2955</c:v>
                </c:pt>
                <c:pt idx="1">
                  <c:v>2997</c:v>
                </c:pt>
                <c:pt idx="2">
                  <c:v>3044</c:v>
                </c:pt>
                <c:pt idx="3">
                  <c:v>2759</c:v>
                </c:pt>
                <c:pt idx="4">
                  <c:v>2430</c:v>
                </c:pt>
                <c:pt idx="5">
                  <c:v>3084</c:v>
                </c:pt>
              </c:numCache>
            </c:numRef>
          </c:val>
          <c:extLst>
            <c:ext xmlns:c16="http://schemas.microsoft.com/office/drawing/2014/chart" uri="{C3380CC4-5D6E-409C-BE32-E72D297353CC}">
              <c16:uniqueId val="{00000002-1CEA-4121-8698-19768FAA3717}"/>
            </c:ext>
          </c:extLst>
        </c:ser>
        <c:dLbls>
          <c:showLegendKey val="0"/>
          <c:showVal val="0"/>
          <c:showCatName val="0"/>
          <c:showSerName val="0"/>
          <c:showPercent val="0"/>
          <c:showBubbleSize val="0"/>
        </c:dLbls>
        <c:gapWidth val="219"/>
        <c:overlap val="-27"/>
        <c:axId val="769907855"/>
        <c:axId val="769905935"/>
      </c:barChart>
      <c:catAx>
        <c:axId val="769907855"/>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n-lt"/>
                <a:ea typeface="+mn-ea"/>
                <a:cs typeface="Times New Roman" panose="02020603050405020304" pitchFamily="18" charset="0"/>
              </a:defRPr>
            </a:pPr>
            <a:endParaRPr lang="en-IT"/>
          </a:p>
        </c:txPr>
        <c:crossAx val="769905935"/>
        <c:crosses val="autoZero"/>
        <c:auto val="1"/>
        <c:lblAlgn val="ctr"/>
        <c:lblOffset val="100"/>
        <c:noMultiLvlLbl val="0"/>
      </c:catAx>
      <c:valAx>
        <c:axId val="769905935"/>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n-lt"/>
                <a:ea typeface="+mn-ea"/>
                <a:cs typeface="Times New Roman" panose="02020603050405020304" pitchFamily="18" charset="0"/>
              </a:defRPr>
            </a:pPr>
            <a:endParaRPr lang="en-IT"/>
          </a:p>
        </c:txPr>
        <c:crossAx val="769907855"/>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800" b="0" i="0" u="none" strike="noStrike" kern="1200" baseline="0">
              <a:solidFill>
                <a:sysClr val="windowText" lastClr="000000"/>
              </a:solidFill>
              <a:latin typeface="+mn-lt"/>
              <a:ea typeface="+mn-ea"/>
              <a:cs typeface="Times New Roman" panose="02020603050405020304" pitchFamily="18" charset="0"/>
            </a:defRPr>
          </a:pPr>
          <a:endParaRPr lang="en-IT"/>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b="1">
          <a:solidFill>
            <a:sysClr val="windowText" lastClr="000000"/>
          </a:solidFill>
          <a:latin typeface="Times New Roman" panose="02020603050405020304" pitchFamily="18" charset="0"/>
          <a:cs typeface="Times New Roman" panose="02020603050405020304" pitchFamily="18" charset="0"/>
        </a:defRPr>
      </a:pPr>
      <a:endParaRPr lang="en-IT"/>
    </a:p>
  </c:txPr>
  <c:externalData r:id="rId3">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Basic!$G$10</c:f>
              <c:strCache>
                <c:ptCount val="1"/>
                <c:pt idx="0">
                  <c:v>MALE</c:v>
                </c:pt>
              </c:strCache>
            </c:strRef>
          </c:tx>
          <c:spPr>
            <a:solidFill>
              <a:schemeClr val="accent1"/>
            </a:solidFill>
            <a:ln>
              <a:noFill/>
            </a:ln>
            <a:effectLst/>
          </c:spPr>
          <c:invertIfNegative val="0"/>
          <c:cat>
            <c:numRef>
              <c:f>Basic!$H$9:$M$9</c:f>
              <c:numCache>
                <c:formatCode>General</c:formatCode>
                <c:ptCount val="6"/>
                <c:pt idx="0">
                  <c:v>2018</c:v>
                </c:pt>
                <c:pt idx="1">
                  <c:v>2019</c:v>
                </c:pt>
                <c:pt idx="2">
                  <c:v>2020</c:v>
                </c:pt>
                <c:pt idx="3">
                  <c:v>2021</c:v>
                </c:pt>
                <c:pt idx="4">
                  <c:v>2022</c:v>
                </c:pt>
                <c:pt idx="5">
                  <c:v>2023</c:v>
                </c:pt>
              </c:numCache>
            </c:numRef>
          </c:cat>
          <c:val>
            <c:numRef>
              <c:f>Basic!$H$10:$M$10</c:f>
              <c:numCache>
                <c:formatCode>0</c:formatCode>
                <c:ptCount val="6"/>
                <c:pt idx="0">
                  <c:v>1290</c:v>
                </c:pt>
                <c:pt idx="1">
                  <c:v>1297</c:v>
                </c:pt>
                <c:pt idx="2">
                  <c:v>1213</c:v>
                </c:pt>
                <c:pt idx="3">
                  <c:v>1125</c:v>
                </c:pt>
                <c:pt idx="4">
                  <c:v>955</c:v>
                </c:pt>
                <c:pt idx="5">
                  <c:v>1178</c:v>
                </c:pt>
              </c:numCache>
            </c:numRef>
          </c:val>
          <c:extLst>
            <c:ext xmlns:c16="http://schemas.microsoft.com/office/drawing/2014/chart" uri="{C3380CC4-5D6E-409C-BE32-E72D297353CC}">
              <c16:uniqueId val="{00000000-79C5-40EC-B1C5-259BEAD89919}"/>
            </c:ext>
          </c:extLst>
        </c:ser>
        <c:ser>
          <c:idx val="1"/>
          <c:order val="1"/>
          <c:tx>
            <c:strRef>
              <c:f>Basic!$G$11</c:f>
              <c:strCache>
                <c:ptCount val="1"/>
                <c:pt idx="0">
                  <c:v>FEMALE</c:v>
                </c:pt>
              </c:strCache>
            </c:strRef>
          </c:tx>
          <c:spPr>
            <a:solidFill>
              <a:schemeClr val="accent2"/>
            </a:solidFill>
            <a:ln>
              <a:noFill/>
            </a:ln>
            <a:effectLst/>
          </c:spPr>
          <c:invertIfNegative val="0"/>
          <c:cat>
            <c:numRef>
              <c:f>Basic!$H$9:$M$9</c:f>
              <c:numCache>
                <c:formatCode>General</c:formatCode>
                <c:ptCount val="6"/>
                <c:pt idx="0">
                  <c:v>2018</c:v>
                </c:pt>
                <c:pt idx="1">
                  <c:v>2019</c:v>
                </c:pt>
                <c:pt idx="2">
                  <c:v>2020</c:v>
                </c:pt>
                <c:pt idx="3">
                  <c:v>2021</c:v>
                </c:pt>
                <c:pt idx="4">
                  <c:v>2022</c:v>
                </c:pt>
                <c:pt idx="5">
                  <c:v>2023</c:v>
                </c:pt>
              </c:numCache>
            </c:numRef>
          </c:cat>
          <c:val>
            <c:numRef>
              <c:f>Basic!$H$11:$M$11</c:f>
              <c:numCache>
                <c:formatCode>0</c:formatCode>
                <c:ptCount val="6"/>
                <c:pt idx="0">
                  <c:v>1665</c:v>
                </c:pt>
                <c:pt idx="1">
                  <c:v>1700</c:v>
                </c:pt>
                <c:pt idx="2">
                  <c:v>1831</c:v>
                </c:pt>
                <c:pt idx="3">
                  <c:v>1634</c:v>
                </c:pt>
                <c:pt idx="4">
                  <c:v>1475</c:v>
                </c:pt>
                <c:pt idx="5">
                  <c:v>1906</c:v>
                </c:pt>
              </c:numCache>
            </c:numRef>
          </c:val>
          <c:extLst>
            <c:ext xmlns:c16="http://schemas.microsoft.com/office/drawing/2014/chart" uri="{C3380CC4-5D6E-409C-BE32-E72D297353CC}">
              <c16:uniqueId val="{00000001-79C5-40EC-B1C5-259BEAD89919}"/>
            </c:ext>
          </c:extLst>
        </c:ser>
        <c:ser>
          <c:idx val="2"/>
          <c:order val="2"/>
          <c:tx>
            <c:strRef>
              <c:f>Basic!$G$12</c:f>
              <c:strCache>
                <c:ptCount val="1"/>
                <c:pt idx="0">
                  <c:v>TOTAL</c:v>
                </c:pt>
              </c:strCache>
            </c:strRef>
          </c:tx>
          <c:spPr>
            <a:solidFill>
              <a:schemeClr val="accent3"/>
            </a:solidFill>
            <a:ln>
              <a:noFill/>
            </a:ln>
            <a:effectLst/>
          </c:spPr>
          <c:invertIfNegative val="0"/>
          <c:cat>
            <c:numRef>
              <c:f>Basic!$H$9:$M$9</c:f>
              <c:numCache>
                <c:formatCode>General</c:formatCode>
                <c:ptCount val="6"/>
                <c:pt idx="0">
                  <c:v>2018</c:v>
                </c:pt>
                <c:pt idx="1">
                  <c:v>2019</c:v>
                </c:pt>
                <c:pt idx="2">
                  <c:v>2020</c:v>
                </c:pt>
                <c:pt idx="3">
                  <c:v>2021</c:v>
                </c:pt>
                <c:pt idx="4">
                  <c:v>2022</c:v>
                </c:pt>
                <c:pt idx="5">
                  <c:v>2023</c:v>
                </c:pt>
              </c:numCache>
            </c:numRef>
          </c:cat>
          <c:val>
            <c:numRef>
              <c:f>Basic!$H$12:$M$12</c:f>
              <c:numCache>
                <c:formatCode>0</c:formatCode>
                <c:ptCount val="6"/>
                <c:pt idx="0">
                  <c:v>2955</c:v>
                </c:pt>
                <c:pt idx="1">
                  <c:v>2997</c:v>
                </c:pt>
                <c:pt idx="2">
                  <c:v>3044</c:v>
                </c:pt>
                <c:pt idx="3">
                  <c:v>2759</c:v>
                </c:pt>
                <c:pt idx="4">
                  <c:v>2430</c:v>
                </c:pt>
                <c:pt idx="5">
                  <c:v>3084</c:v>
                </c:pt>
              </c:numCache>
            </c:numRef>
          </c:val>
          <c:extLst>
            <c:ext xmlns:c16="http://schemas.microsoft.com/office/drawing/2014/chart" uri="{C3380CC4-5D6E-409C-BE32-E72D297353CC}">
              <c16:uniqueId val="{00000002-79C5-40EC-B1C5-259BEAD89919}"/>
            </c:ext>
          </c:extLst>
        </c:ser>
        <c:dLbls>
          <c:showLegendKey val="0"/>
          <c:showVal val="0"/>
          <c:showCatName val="0"/>
          <c:showSerName val="0"/>
          <c:showPercent val="0"/>
          <c:showBubbleSize val="0"/>
        </c:dLbls>
        <c:gapWidth val="219"/>
        <c:overlap val="-27"/>
        <c:axId val="769911695"/>
        <c:axId val="769891535"/>
      </c:barChart>
      <c:catAx>
        <c:axId val="769911695"/>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1" i="0" u="none" strike="noStrike" kern="1200" baseline="0">
                <a:solidFill>
                  <a:sysClr val="windowText" lastClr="000000"/>
                </a:solidFill>
                <a:latin typeface="+mn-lt"/>
                <a:ea typeface="+mn-ea"/>
                <a:cs typeface="Times New Roman" panose="02020603050405020304" pitchFamily="18" charset="0"/>
              </a:defRPr>
            </a:pPr>
            <a:endParaRPr lang="en-IT"/>
          </a:p>
        </c:txPr>
        <c:crossAx val="769891535"/>
        <c:crosses val="autoZero"/>
        <c:auto val="1"/>
        <c:lblAlgn val="ctr"/>
        <c:lblOffset val="100"/>
        <c:noMultiLvlLbl val="0"/>
      </c:catAx>
      <c:valAx>
        <c:axId val="769891535"/>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800" b="1" i="0" u="none" strike="noStrike" kern="1200" baseline="0">
                <a:solidFill>
                  <a:sysClr val="windowText" lastClr="000000"/>
                </a:solidFill>
                <a:latin typeface="+mn-lt"/>
                <a:ea typeface="+mn-ea"/>
                <a:cs typeface="Times New Roman" panose="02020603050405020304" pitchFamily="18" charset="0"/>
              </a:defRPr>
            </a:pPr>
            <a:endParaRPr lang="en-IT"/>
          </a:p>
        </c:txPr>
        <c:crossAx val="769911695"/>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800" b="0" i="0" u="none" strike="noStrike" kern="1200" baseline="0">
              <a:solidFill>
                <a:sysClr val="windowText" lastClr="000000"/>
              </a:solidFill>
              <a:latin typeface="+mn-lt"/>
              <a:ea typeface="+mn-ea"/>
              <a:cs typeface="Times New Roman" panose="02020603050405020304" pitchFamily="18" charset="0"/>
            </a:defRPr>
          </a:pPr>
          <a:endParaRPr lang="en-IT"/>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b="1">
          <a:solidFill>
            <a:sysClr val="windowText" lastClr="000000"/>
          </a:solidFill>
          <a:latin typeface="Times New Roman" panose="02020603050405020304" pitchFamily="18" charset="0"/>
          <a:cs typeface="Times New Roman" panose="02020603050405020304" pitchFamily="18" charset="0"/>
        </a:defRPr>
      </a:pPr>
      <a:endParaRPr lang="en-IT"/>
    </a:p>
  </c:txPr>
  <c:externalData r:id="rId3">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'GII score'!$B$2</c:f>
              <c:strCache>
                <c:ptCount val="1"/>
                <c:pt idx="0">
                  <c:v>Albania</c:v>
                </c:pt>
              </c:strCache>
            </c:strRef>
          </c:tx>
          <c:spPr>
            <a:ln w="28575" cap="rnd">
              <a:solidFill>
                <a:schemeClr val="accent1"/>
              </a:solidFill>
              <a:round/>
            </a:ln>
            <a:effectLst/>
          </c:spPr>
          <c:marker>
            <c:symbol val="none"/>
          </c:marker>
          <c:cat>
            <c:numRef>
              <c:f>'GII score'!$F$1:$Q$1</c:f>
              <c:numCache>
                <c:formatCode>General</c:formatCode>
                <c:ptCount val="12"/>
                <c:pt idx="0">
                  <c:v>2013</c:v>
                </c:pt>
                <c:pt idx="1">
                  <c:v>2014</c:v>
                </c:pt>
                <c:pt idx="2">
                  <c:v>2015</c:v>
                </c:pt>
                <c:pt idx="3">
                  <c:v>2016</c:v>
                </c:pt>
                <c:pt idx="4">
                  <c:v>2017</c:v>
                </c:pt>
                <c:pt idx="5">
                  <c:v>2018</c:v>
                </c:pt>
                <c:pt idx="6">
                  <c:v>2019</c:v>
                </c:pt>
                <c:pt idx="7">
                  <c:v>2020</c:v>
                </c:pt>
                <c:pt idx="8">
                  <c:v>2021</c:v>
                </c:pt>
                <c:pt idx="9">
                  <c:v>2022</c:v>
                </c:pt>
                <c:pt idx="10">
                  <c:v>2023</c:v>
                </c:pt>
                <c:pt idx="11">
                  <c:v>2024</c:v>
                </c:pt>
              </c:numCache>
              <c:extLst/>
            </c:numRef>
          </c:cat>
          <c:val>
            <c:numRef>
              <c:f>'GII score'!$F$2:$Q$2</c:f>
              <c:numCache>
                <c:formatCode>General</c:formatCode>
                <c:ptCount val="12"/>
                <c:pt idx="0">
                  <c:v>30.9</c:v>
                </c:pt>
                <c:pt idx="1">
                  <c:v>30.5</c:v>
                </c:pt>
                <c:pt idx="2">
                  <c:v>30.7</c:v>
                </c:pt>
                <c:pt idx="3">
                  <c:v>28.4</c:v>
                </c:pt>
                <c:pt idx="4">
                  <c:v>28.9</c:v>
                </c:pt>
                <c:pt idx="5">
                  <c:v>30</c:v>
                </c:pt>
                <c:pt idx="6">
                  <c:v>30.3</c:v>
                </c:pt>
                <c:pt idx="7">
                  <c:v>27.1</c:v>
                </c:pt>
                <c:pt idx="8">
                  <c:v>28</c:v>
                </c:pt>
                <c:pt idx="9">
                  <c:v>24.4</c:v>
                </c:pt>
                <c:pt idx="10" formatCode="0.0">
                  <c:v>25.426758165575102</c:v>
                </c:pt>
                <c:pt idx="11" formatCode="0.0">
                  <c:v>24.537929796008001</c:v>
                </c:pt>
              </c:numCache>
              <c:extLst/>
            </c:numRef>
          </c:val>
          <c:smooth val="0"/>
          <c:extLst>
            <c:ext xmlns:c16="http://schemas.microsoft.com/office/drawing/2014/chart" uri="{C3380CC4-5D6E-409C-BE32-E72D297353CC}">
              <c16:uniqueId val="{00000000-62C3-4FAC-A3A2-7873172547D6}"/>
            </c:ext>
          </c:extLst>
        </c:ser>
        <c:ser>
          <c:idx val="1"/>
          <c:order val="1"/>
          <c:tx>
            <c:strRef>
              <c:f>'GII score'!$B$3</c:f>
              <c:strCache>
                <c:ptCount val="1"/>
                <c:pt idx="0">
                  <c:v>Bosnia and Herzegovina</c:v>
                </c:pt>
              </c:strCache>
            </c:strRef>
          </c:tx>
          <c:spPr>
            <a:ln w="28575" cap="rnd">
              <a:solidFill>
                <a:schemeClr val="accent2"/>
              </a:solidFill>
              <a:round/>
            </a:ln>
            <a:effectLst/>
          </c:spPr>
          <c:marker>
            <c:symbol val="none"/>
          </c:marker>
          <c:cat>
            <c:numRef>
              <c:f>'GII score'!$F$1:$Q$1</c:f>
              <c:numCache>
                <c:formatCode>General</c:formatCode>
                <c:ptCount val="12"/>
                <c:pt idx="0">
                  <c:v>2013</c:v>
                </c:pt>
                <c:pt idx="1">
                  <c:v>2014</c:v>
                </c:pt>
                <c:pt idx="2">
                  <c:v>2015</c:v>
                </c:pt>
                <c:pt idx="3">
                  <c:v>2016</c:v>
                </c:pt>
                <c:pt idx="4">
                  <c:v>2017</c:v>
                </c:pt>
                <c:pt idx="5">
                  <c:v>2018</c:v>
                </c:pt>
                <c:pt idx="6">
                  <c:v>2019</c:v>
                </c:pt>
                <c:pt idx="7">
                  <c:v>2020</c:v>
                </c:pt>
                <c:pt idx="8">
                  <c:v>2021</c:v>
                </c:pt>
                <c:pt idx="9">
                  <c:v>2022</c:v>
                </c:pt>
                <c:pt idx="10">
                  <c:v>2023</c:v>
                </c:pt>
                <c:pt idx="11">
                  <c:v>2024</c:v>
                </c:pt>
              </c:numCache>
              <c:extLst/>
            </c:numRef>
          </c:cat>
          <c:val>
            <c:numRef>
              <c:f>'GII score'!$F$3:$Q$3</c:f>
              <c:numCache>
                <c:formatCode>General</c:formatCode>
                <c:ptCount val="12"/>
                <c:pt idx="0">
                  <c:v>36.200000000000003</c:v>
                </c:pt>
                <c:pt idx="1">
                  <c:v>32.4</c:v>
                </c:pt>
                <c:pt idx="2">
                  <c:v>32.299999999999997</c:v>
                </c:pt>
                <c:pt idx="3">
                  <c:v>29.6</c:v>
                </c:pt>
                <c:pt idx="4">
                  <c:v>30.2</c:v>
                </c:pt>
                <c:pt idx="5">
                  <c:v>31.1</c:v>
                </c:pt>
                <c:pt idx="6">
                  <c:v>31.4</c:v>
                </c:pt>
                <c:pt idx="7">
                  <c:v>29</c:v>
                </c:pt>
                <c:pt idx="8">
                  <c:v>29.6</c:v>
                </c:pt>
                <c:pt idx="9">
                  <c:v>28.5</c:v>
                </c:pt>
                <c:pt idx="10" formatCode="0.0">
                  <c:v>27.1487222293485</c:v>
                </c:pt>
                <c:pt idx="11" formatCode="0.0">
                  <c:v>25.4678505303375</c:v>
                </c:pt>
              </c:numCache>
              <c:extLst/>
            </c:numRef>
          </c:val>
          <c:smooth val="0"/>
          <c:extLst>
            <c:ext xmlns:c16="http://schemas.microsoft.com/office/drawing/2014/chart" uri="{C3380CC4-5D6E-409C-BE32-E72D297353CC}">
              <c16:uniqueId val="{00000001-62C3-4FAC-A3A2-7873172547D6}"/>
            </c:ext>
          </c:extLst>
        </c:ser>
        <c:ser>
          <c:idx val="2"/>
          <c:order val="2"/>
          <c:tx>
            <c:strRef>
              <c:f>'GII score'!$B$4</c:f>
              <c:strCache>
                <c:ptCount val="1"/>
                <c:pt idx="0">
                  <c:v>North Macedonia</c:v>
                </c:pt>
              </c:strCache>
            </c:strRef>
          </c:tx>
          <c:spPr>
            <a:ln w="28575" cap="rnd">
              <a:solidFill>
                <a:schemeClr val="accent3"/>
              </a:solidFill>
              <a:round/>
            </a:ln>
            <a:effectLst/>
          </c:spPr>
          <c:marker>
            <c:symbol val="none"/>
          </c:marker>
          <c:cat>
            <c:numRef>
              <c:f>'GII score'!$F$1:$Q$1</c:f>
              <c:numCache>
                <c:formatCode>General</c:formatCode>
                <c:ptCount val="12"/>
                <c:pt idx="0">
                  <c:v>2013</c:v>
                </c:pt>
                <c:pt idx="1">
                  <c:v>2014</c:v>
                </c:pt>
                <c:pt idx="2">
                  <c:v>2015</c:v>
                </c:pt>
                <c:pt idx="3">
                  <c:v>2016</c:v>
                </c:pt>
                <c:pt idx="4">
                  <c:v>2017</c:v>
                </c:pt>
                <c:pt idx="5">
                  <c:v>2018</c:v>
                </c:pt>
                <c:pt idx="6">
                  <c:v>2019</c:v>
                </c:pt>
                <c:pt idx="7">
                  <c:v>2020</c:v>
                </c:pt>
                <c:pt idx="8">
                  <c:v>2021</c:v>
                </c:pt>
                <c:pt idx="9">
                  <c:v>2022</c:v>
                </c:pt>
                <c:pt idx="10">
                  <c:v>2023</c:v>
                </c:pt>
                <c:pt idx="11">
                  <c:v>2024</c:v>
                </c:pt>
              </c:numCache>
              <c:extLst/>
            </c:numRef>
          </c:cat>
          <c:val>
            <c:numRef>
              <c:f>'GII score'!$F$4:$Q$4</c:f>
              <c:numCache>
                <c:formatCode>General</c:formatCode>
                <c:ptCount val="12"/>
                <c:pt idx="0">
                  <c:v>38.200000000000003</c:v>
                </c:pt>
                <c:pt idx="1">
                  <c:v>36.9</c:v>
                </c:pt>
                <c:pt idx="2">
                  <c:v>38</c:v>
                </c:pt>
                <c:pt idx="3">
                  <c:v>35.4</c:v>
                </c:pt>
                <c:pt idx="4">
                  <c:v>35.4</c:v>
                </c:pt>
                <c:pt idx="5">
                  <c:v>29.9</c:v>
                </c:pt>
                <c:pt idx="6">
                  <c:v>35.299999999999997</c:v>
                </c:pt>
                <c:pt idx="7">
                  <c:v>33.4</c:v>
                </c:pt>
                <c:pt idx="8">
                  <c:v>34.1</c:v>
                </c:pt>
                <c:pt idx="9">
                  <c:v>28.8</c:v>
                </c:pt>
                <c:pt idx="10" formatCode="0.0">
                  <c:v>33.019295939227298</c:v>
                </c:pt>
                <c:pt idx="11" formatCode="0.0">
                  <c:v>29.888580848715701</c:v>
                </c:pt>
              </c:numCache>
              <c:extLst/>
            </c:numRef>
          </c:val>
          <c:smooth val="0"/>
          <c:extLst>
            <c:ext xmlns:c16="http://schemas.microsoft.com/office/drawing/2014/chart" uri="{C3380CC4-5D6E-409C-BE32-E72D297353CC}">
              <c16:uniqueId val="{00000002-62C3-4FAC-A3A2-7873172547D6}"/>
            </c:ext>
          </c:extLst>
        </c:ser>
        <c:ser>
          <c:idx val="3"/>
          <c:order val="3"/>
          <c:tx>
            <c:strRef>
              <c:f>'GII score'!$B$5</c:f>
              <c:strCache>
                <c:ptCount val="1"/>
                <c:pt idx="0">
                  <c:v>Montenegro</c:v>
                </c:pt>
              </c:strCache>
            </c:strRef>
          </c:tx>
          <c:spPr>
            <a:ln w="28575" cap="rnd">
              <a:solidFill>
                <a:schemeClr val="tx1"/>
              </a:solidFill>
              <a:prstDash val="dash"/>
              <a:round/>
            </a:ln>
            <a:effectLst/>
          </c:spPr>
          <c:marker>
            <c:symbol val="none"/>
          </c:marker>
          <c:cat>
            <c:numRef>
              <c:f>'GII score'!$F$1:$Q$1</c:f>
              <c:numCache>
                <c:formatCode>General</c:formatCode>
                <c:ptCount val="12"/>
                <c:pt idx="0">
                  <c:v>2013</c:v>
                </c:pt>
                <c:pt idx="1">
                  <c:v>2014</c:v>
                </c:pt>
                <c:pt idx="2">
                  <c:v>2015</c:v>
                </c:pt>
                <c:pt idx="3">
                  <c:v>2016</c:v>
                </c:pt>
                <c:pt idx="4">
                  <c:v>2017</c:v>
                </c:pt>
                <c:pt idx="5">
                  <c:v>2018</c:v>
                </c:pt>
                <c:pt idx="6">
                  <c:v>2019</c:v>
                </c:pt>
                <c:pt idx="7">
                  <c:v>2020</c:v>
                </c:pt>
                <c:pt idx="8">
                  <c:v>2021</c:v>
                </c:pt>
                <c:pt idx="9">
                  <c:v>2022</c:v>
                </c:pt>
                <c:pt idx="10">
                  <c:v>2023</c:v>
                </c:pt>
                <c:pt idx="11">
                  <c:v>2024</c:v>
                </c:pt>
              </c:numCache>
              <c:extLst/>
            </c:numRef>
          </c:cat>
          <c:val>
            <c:numRef>
              <c:f>'GII score'!$F$5:$Q$5</c:f>
              <c:numCache>
                <c:formatCode>General</c:formatCode>
                <c:ptCount val="12"/>
                <c:pt idx="0">
                  <c:v>41</c:v>
                </c:pt>
                <c:pt idx="1">
                  <c:v>37</c:v>
                </c:pt>
                <c:pt idx="2">
                  <c:v>41.2</c:v>
                </c:pt>
                <c:pt idx="3">
                  <c:v>37.4</c:v>
                </c:pt>
                <c:pt idx="4">
                  <c:v>38.1</c:v>
                </c:pt>
                <c:pt idx="5">
                  <c:v>36.5</c:v>
                </c:pt>
                <c:pt idx="6">
                  <c:v>37.700000000000003</c:v>
                </c:pt>
                <c:pt idx="7">
                  <c:v>35.4</c:v>
                </c:pt>
                <c:pt idx="8">
                  <c:v>35.4</c:v>
                </c:pt>
                <c:pt idx="9">
                  <c:v>30.3</c:v>
                </c:pt>
                <c:pt idx="10" formatCode="0.0">
                  <c:v>27.796063142801898</c:v>
                </c:pt>
                <c:pt idx="11" formatCode="0.0">
                  <c:v>28.874566788894398</c:v>
                </c:pt>
              </c:numCache>
              <c:extLst/>
            </c:numRef>
          </c:val>
          <c:smooth val="0"/>
          <c:extLst>
            <c:ext xmlns:c16="http://schemas.microsoft.com/office/drawing/2014/chart" uri="{C3380CC4-5D6E-409C-BE32-E72D297353CC}">
              <c16:uniqueId val="{00000003-62C3-4FAC-A3A2-7873172547D6}"/>
            </c:ext>
          </c:extLst>
        </c:ser>
        <c:ser>
          <c:idx val="4"/>
          <c:order val="4"/>
          <c:tx>
            <c:strRef>
              <c:f>'GII score'!$B$6</c:f>
              <c:strCache>
                <c:ptCount val="1"/>
                <c:pt idx="0">
                  <c:v>Serbia</c:v>
                </c:pt>
              </c:strCache>
            </c:strRef>
          </c:tx>
          <c:spPr>
            <a:ln w="28575" cap="rnd">
              <a:solidFill>
                <a:schemeClr val="accent5"/>
              </a:solidFill>
              <a:round/>
            </a:ln>
            <a:effectLst/>
          </c:spPr>
          <c:marker>
            <c:symbol val="none"/>
          </c:marker>
          <c:cat>
            <c:numRef>
              <c:f>'GII score'!$F$1:$Q$1</c:f>
              <c:numCache>
                <c:formatCode>General</c:formatCode>
                <c:ptCount val="12"/>
                <c:pt idx="0">
                  <c:v>2013</c:v>
                </c:pt>
                <c:pt idx="1">
                  <c:v>2014</c:v>
                </c:pt>
                <c:pt idx="2">
                  <c:v>2015</c:v>
                </c:pt>
                <c:pt idx="3">
                  <c:v>2016</c:v>
                </c:pt>
                <c:pt idx="4">
                  <c:v>2017</c:v>
                </c:pt>
                <c:pt idx="5">
                  <c:v>2018</c:v>
                </c:pt>
                <c:pt idx="6">
                  <c:v>2019</c:v>
                </c:pt>
                <c:pt idx="7">
                  <c:v>2020</c:v>
                </c:pt>
                <c:pt idx="8">
                  <c:v>2021</c:v>
                </c:pt>
                <c:pt idx="9">
                  <c:v>2022</c:v>
                </c:pt>
                <c:pt idx="10">
                  <c:v>2023</c:v>
                </c:pt>
                <c:pt idx="11">
                  <c:v>2024</c:v>
                </c:pt>
              </c:numCache>
              <c:extLst/>
            </c:numRef>
          </c:cat>
          <c:val>
            <c:numRef>
              <c:f>'GII score'!$F$6:$Q$6</c:f>
              <c:numCache>
                <c:formatCode>General</c:formatCode>
                <c:ptCount val="12"/>
                <c:pt idx="0">
                  <c:v>37.9</c:v>
                </c:pt>
                <c:pt idx="1">
                  <c:v>35.9</c:v>
                </c:pt>
                <c:pt idx="2">
                  <c:v>36.5</c:v>
                </c:pt>
                <c:pt idx="3">
                  <c:v>33.799999999999997</c:v>
                </c:pt>
                <c:pt idx="4">
                  <c:v>35.299999999999997</c:v>
                </c:pt>
                <c:pt idx="5">
                  <c:v>35.5</c:v>
                </c:pt>
                <c:pt idx="6">
                  <c:v>35.700000000000003</c:v>
                </c:pt>
                <c:pt idx="7">
                  <c:v>34.299999999999997</c:v>
                </c:pt>
                <c:pt idx="8">
                  <c:v>35</c:v>
                </c:pt>
                <c:pt idx="9">
                  <c:v>32.299999999999997</c:v>
                </c:pt>
                <c:pt idx="10" formatCode="0.0">
                  <c:v>33.1112534588203</c:v>
                </c:pt>
                <c:pt idx="11" formatCode="0.0">
                  <c:v>32.254358437439201</c:v>
                </c:pt>
              </c:numCache>
              <c:extLst/>
            </c:numRef>
          </c:val>
          <c:smooth val="0"/>
          <c:extLst>
            <c:ext xmlns:c16="http://schemas.microsoft.com/office/drawing/2014/chart" uri="{C3380CC4-5D6E-409C-BE32-E72D297353CC}">
              <c16:uniqueId val="{00000004-62C3-4FAC-A3A2-7873172547D6}"/>
            </c:ext>
          </c:extLst>
        </c:ser>
        <c:dLbls>
          <c:showLegendKey val="0"/>
          <c:showVal val="0"/>
          <c:showCatName val="0"/>
          <c:showSerName val="0"/>
          <c:showPercent val="0"/>
          <c:showBubbleSize val="0"/>
        </c:dLbls>
        <c:smooth val="0"/>
        <c:axId val="354658592"/>
        <c:axId val="354657632"/>
      </c:lineChart>
      <c:catAx>
        <c:axId val="35465859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Times New Roman" panose="02020603050405020304" pitchFamily="18" charset="0"/>
              </a:defRPr>
            </a:pPr>
            <a:endParaRPr lang="en-IT"/>
          </a:p>
        </c:txPr>
        <c:crossAx val="354657632"/>
        <c:crosses val="autoZero"/>
        <c:auto val="1"/>
        <c:lblAlgn val="ctr"/>
        <c:lblOffset val="100"/>
        <c:noMultiLvlLbl val="0"/>
      </c:catAx>
      <c:valAx>
        <c:axId val="354657632"/>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Times New Roman" panose="02020603050405020304" pitchFamily="18" charset="0"/>
              </a:defRPr>
            </a:pPr>
            <a:endParaRPr lang="en-IT"/>
          </a:p>
        </c:txPr>
        <c:crossAx val="354658592"/>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Times New Roman" panose="02020603050405020304" pitchFamily="18" charset="0"/>
            </a:defRPr>
          </a:pPr>
          <a:endParaRPr lang="en-IT"/>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latin typeface="Times New Roman" panose="02020603050405020304" pitchFamily="18" charset="0"/>
          <a:cs typeface="Times New Roman" panose="02020603050405020304" pitchFamily="18" charset="0"/>
        </a:defRPr>
      </a:pPr>
      <a:endParaRPr lang="en-IT"/>
    </a:p>
  </c:txPr>
  <c:externalData r:id="rId3">
    <c:autoUpdate val="0"/>
  </c:externalData>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'Knowledge and technology output'!$A$2</c:f>
              <c:strCache>
                <c:ptCount val="1"/>
                <c:pt idx="0">
                  <c:v>Albania</c:v>
                </c:pt>
              </c:strCache>
            </c:strRef>
          </c:tx>
          <c:spPr>
            <a:ln w="28575" cap="rnd">
              <a:solidFill>
                <a:schemeClr val="accent1"/>
              </a:solidFill>
              <a:round/>
            </a:ln>
            <a:effectLst/>
          </c:spPr>
          <c:marker>
            <c:symbol val="none"/>
          </c:marker>
          <c:cat>
            <c:numRef>
              <c:f>'Knowledge and technology output'!$E$1:$P$1</c:f>
              <c:numCache>
                <c:formatCode>General</c:formatCode>
                <c:ptCount val="12"/>
                <c:pt idx="0">
                  <c:v>2013</c:v>
                </c:pt>
                <c:pt idx="1">
                  <c:v>2014</c:v>
                </c:pt>
                <c:pt idx="2">
                  <c:v>2015</c:v>
                </c:pt>
                <c:pt idx="3">
                  <c:v>2016</c:v>
                </c:pt>
                <c:pt idx="4">
                  <c:v>2017</c:v>
                </c:pt>
                <c:pt idx="5">
                  <c:v>2018</c:v>
                </c:pt>
                <c:pt idx="6">
                  <c:v>2019</c:v>
                </c:pt>
                <c:pt idx="7">
                  <c:v>2020</c:v>
                </c:pt>
                <c:pt idx="8">
                  <c:v>2021</c:v>
                </c:pt>
                <c:pt idx="9">
                  <c:v>2022</c:v>
                </c:pt>
                <c:pt idx="10">
                  <c:v>2023</c:v>
                </c:pt>
                <c:pt idx="11">
                  <c:v>2024</c:v>
                </c:pt>
              </c:numCache>
              <c:extLst/>
            </c:numRef>
          </c:cat>
          <c:val>
            <c:numRef>
              <c:f>'Knowledge and technology output'!$E$2:$P$2</c:f>
              <c:numCache>
                <c:formatCode>General</c:formatCode>
                <c:ptCount val="12"/>
                <c:pt idx="0">
                  <c:v>19.2</c:v>
                </c:pt>
                <c:pt idx="1">
                  <c:v>20.2</c:v>
                </c:pt>
                <c:pt idx="2">
                  <c:v>18.5</c:v>
                </c:pt>
                <c:pt idx="3">
                  <c:v>17.2</c:v>
                </c:pt>
                <c:pt idx="4">
                  <c:v>11.4</c:v>
                </c:pt>
                <c:pt idx="5">
                  <c:v>13.7</c:v>
                </c:pt>
                <c:pt idx="6">
                  <c:v>12.2</c:v>
                </c:pt>
                <c:pt idx="7">
                  <c:v>9.6999999999999993</c:v>
                </c:pt>
                <c:pt idx="8">
                  <c:v>12</c:v>
                </c:pt>
                <c:pt idx="9">
                  <c:v>12.6</c:v>
                </c:pt>
                <c:pt idx="10">
                  <c:v>14.822414718026399</c:v>
                </c:pt>
                <c:pt idx="11">
                  <c:v>14.4401565990526</c:v>
                </c:pt>
              </c:numCache>
              <c:extLst/>
            </c:numRef>
          </c:val>
          <c:smooth val="0"/>
          <c:extLst>
            <c:ext xmlns:c16="http://schemas.microsoft.com/office/drawing/2014/chart" uri="{C3380CC4-5D6E-409C-BE32-E72D297353CC}">
              <c16:uniqueId val="{00000000-DB69-4360-8596-61548C403336}"/>
            </c:ext>
          </c:extLst>
        </c:ser>
        <c:ser>
          <c:idx val="1"/>
          <c:order val="1"/>
          <c:tx>
            <c:strRef>
              <c:f>'Knowledge and technology output'!$A$3</c:f>
              <c:strCache>
                <c:ptCount val="1"/>
                <c:pt idx="0">
                  <c:v>Bosnia and Herzegovina</c:v>
                </c:pt>
              </c:strCache>
            </c:strRef>
          </c:tx>
          <c:spPr>
            <a:ln w="28575" cap="rnd">
              <a:solidFill>
                <a:schemeClr val="accent2"/>
              </a:solidFill>
              <a:round/>
            </a:ln>
            <a:effectLst/>
          </c:spPr>
          <c:marker>
            <c:symbol val="none"/>
          </c:marker>
          <c:cat>
            <c:numRef>
              <c:f>'Knowledge and technology output'!$E$1:$P$1</c:f>
              <c:numCache>
                <c:formatCode>General</c:formatCode>
                <c:ptCount val="12"/>
                <c:pt idx="0">
                  <c:v>2013</c:v>
                </c:pt>
                <c:pt idx="1">
                  <c:v>2014</c:v>
                </c:pt>
                <c:pt idx="2">
                  <c:v>2015</c:v>
                </c:pt>
                <c:pt idx="3">
                  <c:v>2016</c:v>
                </c:pt>
                <c:pt idx="4">
                  <c:v>2017</c:v>
                </c:pt>
                <c:pt idx="5">
                  <c:v>2018</c:v>
                </c:pt>
                <c:pt idx="6">
                  <c:v>2019</c:v>
                </c:pt>
                <c:pt idx="7">
                  <c:v>2020</c:v>
                </c:pt>
                <c:pt idx="8">
                  <c:v>2021</c:v>
                </c:pt>
                <c:pt idx="9">
                  <c:v>2022</c:v>
                </c:pt>
                <c:pt idx="10">
                  <c:v>2023</c:v>
                </c:pt>
                <c:pt idx="11">
                  <c:v>2024</c:v>
                </c:pt>
              </c:numCache>
              <c:extLst/>
            </c:numRef>
          </c:cat>
          <c:val>
            <c:numRef>
              <c:f>'Knowledge and technology output'!$E$3:$P$3</c:f>
              <c:numCache>
                <c:formatCode>General</c:formatCode>
                <c:ptCount val="12"/>
                <c:pt idx="0">
                  <c:v>30.3</c:v>
                </c:pt>
                <c:pt idx="1">
                  <c:v>29.2</c:v>
                </c:pt>
                <c:pt idx="2">
                  <c:v>23</c:v>
                </c:pt>
                <c:pt idx="3">
                  <c:v>17.8</c:v>
                </c:pt>
                <c:pt idx="4">
                  <c:v>17.2</c:v>
                </c:pt>
                <c:pt idx="5">
                  <c:v>20.2</c:v>
                </c:pt>
                <c:pt idx="6">
                  <c:v>21.8</c:v>
                </c:pt>
                <c:pt idx="7">
                  <c:v>21.2</c:v>
                </c:pt>
                <c:pt idx="8">
                  <c:v>20.7</c:v>
                </c:pt>
                <c:pt idx="9">
                  <c:v>22.3</c:v>
                </c:pt>
                <c:pt idx="10">
                  <c:v>23.075633625187599</c:v>
                </c:pt>
                <c:pt idx="11">
                  <c:v>20.334688602799801</c:v>
                </c:pt>
              </c:numCache>
              <c:extLst/>
            </c:numRef>
          </c:val>
          <c:smooth val="0"/>
          <c:extLst>
            <c:ext xmlns:c16="http://schemas.microsoft.com/office/drawing/2014/chart" uri="{C3380CC4-5D6E-409C-BE32-E72D297353CC}">
              <c16:uniqueId val="{00000001-DB69-4360-8596-61548C403336}"/>
            </c:ext>
          </c:extLst>
        </c:ser>
        <c:ser>
          <c:idx val="2"/>
          <c:order val="2"/>
          <c:tx>
            <c:strRef>
              <c:f>'Knowledge and technology output'!$A$4</c:f>
              <c:strCache>
                <c:ptCount val="1"/>
                <c:pt idx="0">
                  <c:v>North Macedonia</c:v>
                </c:pt>
              </c:strCache>
            </c:strRef>
          </c:tx>
          <c:spPr>
            <a:ln w="28575" cap="rnd">
              <a:solidFill>
                <a:schemeClr val="accent3"/>
              </a:solidFill>
              <a:round/>
            </a:ln>
            <a:effectLst/>
          </c:spPr>
          <c:marker>
            <c:symbol val="none"/>
          </c:marker>
          <c:cat>
            <c:numRef>
              <c:f>'Knowledge and technology output'!$E$1:$P$1</c:f>
              <c:numCache>
                <c:formatCode>General</c:formatCode>
                <c:ptCount val="12"/>
                <c:pt idx="0">
                  <c:v>2013</c:v>
                </c:pt>
                <c:pt idx="1">
                  <c:v>2014</c:v>
                </c:pt>
                <c:pt idx="2">
                  <c:v>2015</c:v>
                </c:pt>
                <c:pt idx="3">
                  <c:v>2016</c:v>
                </c:pt>
                <c:pt idx="4">
                  <c:v>2017</c:v>
                </c:pt>
                <c:pt idx="5">
                  <c:v>2018</c:v>
                </c:pt>
                <c:pt idx="6">
                  <c:v>2019</c:v>
                </c:pt>
                <c:pt idx="7">
                  <c:v>2020</c:v>
                </c:pt>
                <c:pt idx="8">
                  <c:v>2021</c:v>
                </c:pt>
                <c:pt idx="9">
                  <c:v>2022</c:v>
                </c:pt>
                <c:pt idx="10">
                  <c:v>2023</c:v>
                </c:pt>
                <c:pt idx="11">
                  <c:v>2024</c:v>
                </c:pt>
              </c:numCache>
              <c:extLst/>
            </c:numRef>
          </c:cat>
          <c:val>
            <c:numRef>
              <c:f>'Knowledge and technology output'!$E$4:$P$4</c:f>
              <c:numCache>
                <c:formatCode>General</c:formatCode>
                <c:ptCount val="12"/>
                <c:pt idx="0">
                  <c:v>27.7</c:v>
                </c:pt>
                <c:pt idx="1">
                  <c:v>28.2</c:v>
                </c:pt>
                <c:pt idx="2">
                  <c:v>26.3</c:v>
                </c:pt>
                <c:pt idx="3">
                  <c:v>21.9</c:v>
                </c:pt>
                <c:pt idx="4">
                  <c:v>18.899999999999999</c:v>
                </c:pt>
                <c:pt idx="5">
                  <c:v>20.9</c:v>
                </c:pt>
                <c:pt idx="6">
                  <c:v>21.6</c:v>
                </c:pt>
                <c:pt idx="7">
                  <c:v>23</c:v>
                </c:pt>
                <c:pt idx="8">
                  <c:v>22.7</c:v>
                </c:pt>
                <c:pt idx="9">
                  <c:v>24.6</c:v>
                </c:pt>
                <c:pt idx="10">
                  <c:v>26.628389681326698</c:v>
                </c:pt>
                <c:pt idx="11">
                  <c:v>23.675127062311802</c:v>
                </c:pt>
              </c:numCache>
              <c:extLst/>
            </c:numRef>
          </c:val>
          <c:smooth val="0"/>
          <c:extLst>
            <c:ext xmlns:c16="http://schemas.microsoft.com/office/drawing/2014/chart" uri="{C3380CC4-5D6E-409C-BE32-E72D297353CC}">
              <c16:uniqueId val="{00000002-DB69-4360-8596-61548C403336}"/>
            </c:ext>
          </c:extLst>
        </c:ser>
        <c:ser>
          <c:idx val="3"/>
          <c:order val="3"/>
          <c:tx>
            <c:strRef>
              <c:f>'Knowledge and technology output'!$A$5</c:f>
              <c:strCache>
                <c:ptCount val="1"/>
                <c:pt idx="0">
                  <c:v>Montenegro</c:v>
                </c:pt>
              </c:strCache>
            </c:strRef>
          </c:tx>
          <c:spPr>
            <a:ln w="28575" cap="rnd">
              <a:solidFill>
                <a:sysClr val="windowText" lastClr="000000"/>
              </a:solidFill>
              <a:prstDash val="dash"/>
              <a:round/>
            </a:ln>
            <a:effectLst/>
          </c:spPr>
          <c:marker>
            <c:symbol val="none"/>
          </c:marker>
          <c:cat>
            <c:numRef>
              <c:f>'Knowledge and technology output'!$E$1:$P$1</c:f>
              <c:numCache>
                <c:formatCode>General</c:formatCode>
                <c:ptCount val="12"/>
                <c:pt idx="0">
                  <c:v>2013</c:v>
                </c:pt>
                <c:pt idx="1">
                  <c:v>2014</c:v>
                </c:pt>
                <c:pt idx="2">
                  <c:v>2015</c:v>
                </c:pt>
                <c:pt idx="3">
                  <c:v>2016</c:v>
                </c:pt>
                <c:pt idx="4">
                  <c:v>2017</c:v>
                </c:pt>
                <c:pt idx="5">
                  <c:v>2018</c:v>
                </c:pt>
                <c:pt idx="6">
                  <c:v>2019</c:v>
                </c:pt>
                <c:pt idx="7">
                  <c:v>2020</c:v>
                </c:pt>
                <c:pt idx="8">
                  <c:v>2021</c:v>
                </c:pt>
                <c:pt idx="9">
                  <c:v>2022</c:v>
                </c:pt>
                <c:pt idx="10">
                  <c:v>2023</c:v>
                </c:pt>
                <c:pt idx="11">
                  <c:v>2024</c:v>
                </c:pt>
              </c:numCache>
              <c:extLst/>
            </c:numRef>
          </c:cat>
          <c:val>
            <c:numRef>
              <c:f>'Knowledge and technology output'!$E$5:$P$5</c:f>
              <c:numCache>
                <c:formatCode>General</c:formatCode>
                <c:ptCount val="12"/>
                <c:pt idx="0">
                  <c:v>26.8</c:v>
                </c:pt>
                <c:pt idx="1">
                  <c:v>20.9</c:v>
                </c:pt>
                <c:pt idx="2">
                  <c:v>28.4</c:v>
                </c:pt>
                <c:pt idx="3">
                  <c:v>23.4</c:v>
                </c:pt>
                <c:pt idx="4">
                  <c:v>22.5</c:v>
                </c:pt>
                <c:pt idx="5">
                  <c:v>16.3</c:v>
                </c:pt>
                <c:pt idx="6">
                  <c:v>18.5</c:v>
                </c:pt>
                <c:pt idx="7">
                  <c:v>19.600000000000001</c:v>
                </c:pt>
                <c:pt idx="8">
                  <c:v>17.100000000000001</c:v>
                </c:pt>
                <c:pt idx="9">
                  <c:v>19.399999999999999</c:v>
                </c:pt>
                <c:pt idx="10">
                  <c:v>18.814842468590601</c:v>
                </c:pt>
                <c:pt idx="11">
                  <c:v>19.822687890276899</c:v>
                </c:pt>
              </c:numCache>
              <c:extLst/>
            </c:numRef>
          </c:val>
          <c:smooth val="0"/>
          <c:extLst>
            <c:ext xmlns:c16="http://schemas.microsoft.com/office/drawing/2014/chart" uri="{C3380CC4-5D6E-409C-BE32-E72D297353CC}">
              <c16:uniqueId val="{00000003-DB69-4360-8596-61548C403336}"/>
            </c:ext>
          </c:extLst>
        </c:ser>
        <c:ser>
          <c:idx val="4"/>
          <c:order val="4"/>
          <c:tx>
            <c:strRef>
              <c:f>'Knowledge and technology output'!$A$6</c:f>
              <c:strCache>
                <c:ptCount val="1"/>
                <c:pt idx="0">
                  <c:v>Serbia</c:v>
                </c:pt>
              </c:strCache>
            </c:strRef>
          </c:tx>
          <c:spPr>
            <a:ln w="28575" cap="rnd">
              <a:solidFill>
                <a:schemeClr val="accent5"/>
              </a:solidFill>
              <a:round/>
            </a:ln>
            <a:effectLst/>
          </c:spPr>
          <c:marker>
            <c:symbol val="none"/>
          </c:marker>
          <c:cat>
            <c:numRef>
              <c:f>'Knowledge and technology output'!$E$1:$P$1</c:f>
              <c:numCache>
                <c:formatCode>General</c:formatCode>
                <c:ptCount val="12"/>
                <c:pt idx="0">
                  <c:v>2013</c:v>
                </c:pt>
                <c:pt idx="1">
                  <c:v>2014</c:v>
                </c:pt>
                <c:pt idx="2">
                  <c:v>2015</c:v>
                </c:pt>
                <c:pt idx="3">
                  <c:v>2016</c:v>
                </c:pt>
                <c:pt idx="4">
                  <c:v>2017</c:v>
                </c:pt>
                <c:pt idx="5">
                  <c:v>2018</c:v>
                </c:pt>
                <c:pt idx="6">
                  <c:v>2019</c:v>
                </c:pt>
                <c:pt idx="7">
                  <c:v>2020</c:v>
                </c:pt>
                <c:pt idx="8">
                  <c:v>2021</c:v>
                </c:pt>
                <c:pt idx="9">
                  <c:v>2022</c:v>
                </c:pt>
                <c:pt idx="10">
                  <c:v>2023</c:v>
                </c:pt>
                <c:pt idx="11">
                  <c:v>2024</c:v>
                </c:pt>
              </c:numCache>
              <c:extLst/>
            </c:numRef>
          </c:cat>
          <c:val>
            <c:numRef>
              <c:f>'Knowledge and technology output'!$E$6:$P$6</c:f>
              <c:numCache>
                <c:formatCode>General</c:formatCode>
                <c:ptCount val="12"/>
                <c:pt idx="0">
                  <c:v>33.6</c:v>
                </c:pt>
                <c:pt idx="1">
                  <c:v>33.799999999999997</c:v>
                </c:pt>
                <c:pt idx="2">
                  <c:v>27.7</c:v>
                </c:pt>
                <c:pt idx="3">
                  <c:v>27.7</c:v>
                </c:pt>
                <c:pt idx="4">
                  <c:v>24.7</c:v>
                </c:pt>
                <c:pt idx="5">
                  <c:v>26.7</c:v>
                </c:pt>
                <c:pt idx="6">
                  <c:v>26.7</c:v>
                </c:pt>
                <c:pt idx="7">
                  <c:v>30</c:v>
                </c:pt>
                <c:pt idx="8">
                  <c:v>29.1</c:v>
                </c:pt>
                <c:pt idx="9">
                  <c:v>30.3</c:v>
                </c:pt>
                <c:pt idx="10">
                  <c:v>31.422059906163899</c:v>
                </c:pt>
                <c:pt idx="11">
                  <c:v>29.614577859984301</c:v>
                </c:pt>
              </c:numCache>
              <c:extLst/>
            </c:numRef>
          </c:val>
          <c:smooth val="0"/>
          <c:extLst>
            <c:ext xmlns:c16="http://schemas.microsoft.com/office/drawing/2014/chart" uri="{C3380CC4-5D6E-409C-BE32-E72D297353CC}">
              <c16:uniqueId val="{00000004-DB69-4360-8596-61548C403336}"/>
            </c:ext>
          </c:extLst>
        </c:ser>
        <c:dLbls>
          <c:showLegendKey val="0"/>
          <c:showVal val="0"/>
          <c:showCatName val="0"/>
          <c:showSerName val="0"/>
          <c:showPercent val="0"/>
          <c:showBubbleSize val="0"/>
        </c:dLbls>
        <c:smooth val="0"/>
        <c:axId val="354008608"/>
        <c:axId val="354009088"/>
      </c:lineChart>
      <c:catAx>
        <c:axId val="35400860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Times New Roman" panose="02020603050405020304" pitchFamily="18" charset="0"/>
              </a:defRPr>
            </a:pPr>
            <a:endParaRPr lang="en-IT"/>
          </a:p>
        </c:txPr>
        <c:crossAx val="354009088"/>
        <c:crosses val="autoZero"/>
        <c:auto val="1"/>
        <c:lblAlgn val="ctr"/>
        <c:lblOffset val="100"/>
        <c:noMultiLvlLbl val="0"/>
      </c:catAx>
      <c:valAx>
        <c:axId val="35400908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Times New Roman" panose="02020603050405020304" pitchFamily="18" charset="0"/>
              </a:defRPr>
            </a:pPr>
            <a:endParaRPr lang="en-IT"/>
          </a:p>
        </c:txPr>
        <c:crossAx val="35400860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Times New Roman" panose="02020603050405020304" pitchFamily="18" charset="0"/>
            </a:defRPr>
          </a:pPr>
          <a:endParaRPr lang="en-IT"/>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latin typeface="Times New Roman" panose="02020603050405020304" pitchFamily="18" charset="0"/>
          <a:cs typeface="Times New Roman" panose="02020603050405020304" pitchFamily="18" charset="0"/>
        </a:defRPr>
      </a:pPr>
      <a:endParaRPr lang="en-IT"/>
    </a:p>
  </c:txPr>
  <c:externalData r:id="rId3">
    <c:autoUpdate val="0"/>
  </c:externalData>
</c:chartSpace>
</file>

<file path=word/charts/chart1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'software spending'!$A$2</c:f>
              <c:strCache>
                <c:ptCount val="1"/>
                <c:pt idx="0">
                  <c:v>Albania</c:v>
                </c:pt>
              </c:strCache>
            </c:strRef>
          </c:tx>
          <c:spPr>
            <a:ln w="28575" cap="rnd">
              <a:solidFill>
                <a:schemeClr val="accent1"/>
              </a:solidFill>
              <a:round/>
            </a:ln>
            <a:effectLst/>
          </c:spPr>
          <c:marker>
            <c:symbol val="none"/>
          </c:marker>
          <c:cat>
            <c:numRef>
              <c:f>'software spending'!$I$1:$P$1</c:f>
              <c:numCache>
                <c:formatCode>General</c:formatCode>
                <c:ptCount val="8"/>
                <c:pt idx="0">
                  <c:v>2016</c:v>
                </c:pt>
                <c:pt idx="1">
                  <c:v>2017</c:v>
                </c:pt>
                <c:pt idx="2">
                  <c:v>2018</c:v>
                </c:pt>
                <c:pt idx="3">
                  <c:v>2019</c:v>
                </c:pt>
                <c:pt idx="4">
                  <c:v>2020</c:v>
                </c:pt>
                <c:pt idx="5">
                  <c:v>2021</c:v>
                </c:pt>
                <c:pt idx="6">
                  <c:v>2022</c:v>
                </c:pt>
                <c:pt idx="7">
                  <c:v>2023</c:v>
                </c:pt>
              </c:numCache>
            </c:numRef>
          </c:cat>
          <c:val>
            <c:numRef>
              <c:f>'software spending'!$I$2:$P$2</c:f>
              <c:numCache>
                <c:formatCode>General</c:formatCode>
                <c:ptCount val="8"/>
                <c:pt idx="0">
                  <c:v>10.1</c:v>
                </c:pt>
                <c:pt idx="1">
                  <c:v>9.4</c:v>
                </c:pt>
                <c:pt idx="2">
                  <c:v>9</c:v>
                </c:pt>
                <c:pt idx="3">
                  <c:v>8.6999999999999993</c:v>
                </c:pt>
                <c:pt idx="4">
                  <c:v>9</c:v>
                </c:pt>
                <c:pt idx="5">
                  <c:v>10.3</c:v>
                </c:pt>
                <c:pt idx="6" formatCode="0.0">
                  <c:v>11.5653498650472</c:v>
                </c:pt>
                <c:pt idx="7" formatCode="0.0">
                  <c:v>10.6473707253529</c:v>
                </c:pt>
              </c:numCache>
            </c:numRef>
          </c:val>
          <c:smooth val="0"/>
          <c:extLst>
            <c:ext xmlns:c16="http://schemas.microsoft.com/office/drawing/2014/chart" uri="{C3380CC4-5D6E-409C-BE32-E72D297353CC}">
              <c16:uniqueId val="{00000000-C295-4911-919E-51FEA34A4092}"/>
            </c:ext>
          </c:extLst>
        </c:ser>
        <c:ser>
          <c:idx val="1"/>
          <c:order val="1"/>
          <c:tx>
            <c:strRef>
              <c:f>'software spending'!$A$3</c:f>
              <c:strCache>
                <c:ptCount val="1"/>
                <c:pt idx="0">
                  <c:v>Bosnia and Herzegovina</c:v>
                </c:pt>
              </c:strCache>
            </c:strRef>
          </c:tx>
          <c:spPr>
            <a:ln w="28575" cap="rnd">
              <a:solidFill>
                <a:schemeClr val="accent2"/>
              </a:solidFill>
              <a:round/>
            </a:ln>
            <a:effectLst/>
          </c:spPr>
          <c:marker>
            <c:symbol val="none"/>
          </c:marker>
          <c:cat>
            <c:numRef>
              <c:f>'software spending'!$I$1:$P$1</c:f>
              <c:numCache>
                <c:formatCode>General</c:formatCode>
                <c:ptCount val="8"/>
                <c:pt idx="0">
                  <c:v>2016</c:v>
                </c:pt>
                <c:pt idx="1">
                  <c:v>2017</c:v>
                </c:pt>
                <c:pt idx="2">
                  <c:v>2018</c:v>
                </c:pt>
                <c:pt idx="3">
                  <c:v>2019</c:v>
                </c:pt>
                <c:pt idx="4">
                  <c:v>2020</c:v>
                </c:pt>
                <c:pt idx="5">
                  <c:v>2021</c:v>
                </c:pt>
                <c:pt idx="6">
                  <c:v>2022</c:v>
                </c:pt>
                <c:pt idx="7">
                  <c:v>2023</c:v>
                </c:pt>
              </c:numCache>
            </c:numRef>
          </c:cat>
          <c:val>
            <c:numRef>
              <c:f>'software spending'!$I$3:$P$3</c:f>
              <c:numCache>
                <c:formatCode>General</c:formatCode>
                <c:ptCount val="8"/>
                <c:pt idx="0">
                  <c:v>8.8000000000000007</c:v>
                </c:pt>
                <c:pt idx="1">
                  <c:v>7</c:v>
                </c:pt>
                <c:pt idx="2">
                  <c:v>7.3</c:v>
                </c:pt>
                <c:pt idx="3">
                  <c:v>7.3</c:v>
                </c:pt>
                <c:pt idx="4">
                  <c:v>7</c:v>
                </c:pt>
                <c:pt idx="5">
                  <c:v>7.8</c:v>
                </c:pt>
                <c:pt idx="6" formatCode="0.0">
                  <c:v>5.9484139994221401</c:v>
                </c:pt>
                <c:pt idx="7" formatCode="0.0">
                  <c:v>5.8270594088617997</c:v>
                </c:pt>
              </c:numCache>
            </c:numRef>
          </c:val>
          <c:smooth val="0"/>
          <c:extLst>
            <c:ext xmlns:c16="http://schemas.microsoft.com/office/drawing/2014/chart" uri="{C3380CC4-5D6E-409C-BE32-E72D297353CC}">
              <c16:uniqueId val="{00000001-C295-4911-919E-51FEA34A4092}"/>
            </c:ext>
          </c:extLst>
        </c:ser>
        <c:ser>
          <c:idx val="2"/>
          <c:order val="2"/>
          <c:tx>
            <c:strRef>
              <c:f>'software spending'!$A$4</c:f>
              <c:strCache>
                <c:ptCount val="1"/>
                <c:pt idx="0">
                  <c:v>North Macedonia</c:v>
                </c:pt>
              </c:strCache>
            </c:strRef>
          </c:tx>
          <c:spPr>
            <a:ln w="28575" cap="rnd">
              <a:solidFill>
                <a:schemeClr val="accent3"/>
              </a:solidFill>
              <a:round/>
            </a:ln>
            <a:effectLst/>
          </c:spPr>
          <c:marker>
            <c:symbol val="none"/>
          </c:marker>
          <c:cat>
            <c:numRef>
              <c:f>'software spending'!$I$1:$P$1</c:f>
              <c:numCache>
                <c:formatCode>General</c:formatCode>
                <c:ptCount val="8"/>
                <c:pt idx="0">
                  <c:v>2016</c:v>
                </c:pt>
                <c:pt idx="1">
                  <c:v>2017</c:v>
                </c:pt>
                <c:pt idx="2">
                  <c:v>2018</c:v>
                </c:pt>
                <c:pt idx="3">
                  <c:v>2019</c:v>
                </c:pt>
                <c:pt idx="4">
                  <c:v>2020</c:v>
                </c:pt>
                <c:pt idx="5">
                  <c:v>2021</c:v>
                </c:pt>
                <c:pt idx="6">
                  <c:v>2022</c:v>
                </c:pt>
                <c:pt idx="7">
                  <c:v>2023</c:v>
                </c:pt>
              </c:numCache>
            </c:numRef>
          </c:cat>
          <c:val>
            <c:numRef>
              <c:f>'software spending'!$I$4:$P$4</c:f>
              <c:numCache>
                <c:formatCode>General</c:formatCode>
                <c:ptCount val="8"/>
                <c:pt idx="0">
                  <c:v>13</c:v>
                </c:pt>
                <c:pt idx="1">
                  <c:v>12.3</c:v>
                </c:pt>
                <c:pt idx="2">
                  <c:v>12.5</c:v>
                </c:pt>
                <c:pt idx="3">
                  <c:v>12.1</c:v>
                </c:pt>
                <c:pt idx="4">
                  <c:v>12.4</c:v>
                </c:pt>
                <c:pt idx="5">
                  <c:v>13.3</c:v>
                </c:pt>
                <c:pt idx="6" formatCode="0.0">
                  <c:v>10.848350088388999</c:v>
                </c:pt>
                <c:pt idx="7" formatCode="0.0">
                  <c:v>10.0994785171867</c:v>
                </c:pt>
              </c:numCache>
            </c:numRef>
          </c:val>
          <c:smooth val="0"/>
          <c:extLst>
            <c:ext xmlns:c16="http://schemas.microsoft.com/office/drawing/2014/chart" uri="{C3380CC4-5D6E-409C-BE32-E72D297353CC}">
              <c16:uniqueId val="{00000002-C295-4911-919E-51FEA34A4092}"/>
            </c:ext>
          </c:extLst>
        </c:ser>
        <c:ser>
          <c:idx val="3"/>
          <c:order val="3"/>
          <c:tx>
            <c:strRef>
              <c:f>'software spending'!$A$5</c:f>
              <c:strCache>
                <c:ptCount val="1"/>
                <c:pt idx="0">
                  <c:v>Montenegro</c:v>
                </c:pt>
              </c:strCache>
            </c:strRef>
          </c:tx>
          <c:spPr>
            <a:ln w="28575" cap="rnd">
              <a:solidFill>
                <a:sysClr val="windowText" lastClr="000000"/>
              </a:solidFill>
              <a:prstDash val="dash"/>
              <a:round/>
            </a:ln>
            <a:effectLst/>
          </c:spPr>
          <c:marker>
            <c:symbol val="none"/>
          </c:marker>
          <c:cat>
            <c:numRef>
              <c:f>'software spending'!$I$1:$P$1</c:f>
              <c:numCache>
                <c:formatCode>General</c:formatCode>
                <c:ptCount val="8"/>
                <c:pt idx="0">
                  <c:v>2016</c:v>
                </c:pt>
                <c:pt idx="1">
                  <c:v>2017</c:v>
                </c:pt>
                <c:pt idx="2">
                  <c:v>2018</c:v>
                </c:pt>
                <c:pt idx="3">
                  <c:v>2019</c:v>
                </c:pt>
                <c:pt idx="4">
                  <c:v>2020</c:v>
                </c:pt>
                <c:pt idx="5">
                  <c:v>2021</c:v>
                </c:pt>
                <c:pt idx="6">
                  <c:v>2022</c:v>
                </c:pt>
                <c:pt idx="7">
                  <c:v>2023</c:v>
                </c:pt>
              </c:numCache>
            </c:numRef>
          </c:cat>
          <c:val>
            <c:numRef>
              <c:f>'software spending'!$I$5:$P$5</c:f>
              <c:numCache>
                <c:formatCode>General</c:formatCode>
                <c:ptCount val="8"/>
                <c:pt idx="0">
                  <c:v>38.5</c:v>
                </c:pt>
                <c:pt idx="1">
                  <c:v>35.5</c:v>
                </c:pt>
                <c:pt idx="2">
                  <c:v>34.299999999999997</c:v>
                </c:pt>
                <c:pt idx="3">
                  <c:v>33.700000000000003</c:v>
                </c:pt>
                <c:pt idx="4">
                  <c:v>31.7</c:v>
                </c:pt>
                <c:pt idx="5">
                  <c:v>37.5</c:v>
                </c:pt>
                <c:pt idx="6" formatCode="0.0">
                  <c:v>26.2950382382976</c:v>
                </c:pt>
                <c:pt idx="7" formatCode="0.0">
                  <c:v>24.696213314061701</c:v>
                </c:pt>
              </c:numCache>
            </c:numRef>
          </c:val>
          <c:smooth val="0"/>
          <c:extLst>
            <c:ext xmlns:c16="http://schemas.microsoft.com/office/drawing/2014/chart" uri="{C3380CC4-5D6E-409C-BE32-E72D297353CC}">
              <c16:uniqueId val="{00000003-C295-4911-919E-51FEA34A4092}"/>
            </c:ext>
          </c:extLst>
        </c:ser>
        <c:ser>
          <c:idx val="4"/>
          <c:order val="4"/>
          <c:tx>
            <c:strRef>
              <c:f>'software spending'!$A$6</c:f>
              <c:strCache>
                <c:ptCount val="1"/>
                <c:pt idx="0">
                  <c:v>Serbia</c:v>
                </c:pt>
              </c:strCache>
            </c:strRef>
          </c:tx>
          <c:spPr>
            <a:ln w="28575" cap="rnd">
              <a:solidFill>
                <a:schemeClr val="accent5"/>
              </a:solidFill>
              <a:round/>
            </a:ln>
            <a:effectLst/>
          </c:spPr>
          <c:marker>
            <c:symbol val="none"/>
          </c:marker>
          <c:cat>
            <c:numRef>
              <c:f>'software spending'!$I$1:$P$1</c:f>
              <c:numCache>
                <c:formatCode>General</c:formatCode>
                <c:ptCount val="8"/>
                <c:pt idx="0">
                  <c:v>2016</c:v>
                </c:pt>
                <c:pt idx="1">
                  <c:v>2017</c:v>
                </c:pt>
                <c:pt idx="2">
                  <c:v>2018</c:v>
                </c:pt>
                <c:pt idx="3">
                  <c:v>2019</c:v>
                </c:pt>
                <c:pt idx="4">
                  <c:v>2020</c:v>
                </c:pt>
                <c:pt idx="5">
                  <c:v>2021</c:v>
                </c:pt>
                <c:pt idx="6">
                  <c:v>2022</c:v>
                </c:pt>
                <c:pt idx="7">
                  <c:v>2023</c:v>
                </c:pt>
              </c:numCache>
            </c:numRef>
          </c:cat>
          <c:val>
            <c:numRef>
              <c:f>'software spending'!$I$6:$P$6</c:f>
              <c:numCache>
                <c:formatCode>General</c:formatCode>
                <c:ptCount val="8"/>
                <c:pt idx="0">
                  <c:v>3.6</c:v>
                </c:pt>
                <c:pt idx="1">
                  <c:v>3.3</c:v>
                </c:pt>
                <c:pt idx="2">
                  <c:v>3.5</c:v>
                </c:pt>
                <c:pt idx="3">
                  <c:v>3.2</c:v>
                </c:pt>
                <c:pt idx="4">
                  <c:v>3.5</c:v>
                </c:pt>
                <c:pt idx="5">
                  <c:v>3.6</c:v>
                </c:pt>
                <c:pt idx="6" formatCode="0.0">
                  <c:v>2.8986070049275101</c:v>
                </c:pt>
                <c:pt idx="7" formatCode="0.0">
                  <c:v>2.72011560037005</c:v>
                </c:pt>
              </c:numCache>
            </c:numRef>
          </c:val>
          <c:smooth val="0"/>
          <c:extLst>
            <c:ext xmlns:c16="http://schemas.microsoft.com/office/drawing/2014/chart" uri="{C3380CC4-5D6E-409C-BE32-E72D297353CC}">
              <c16:uniqueId val="{00000004-C295-4911-919E-51FEA34A4092}"/>
            </c:ext>
          </c:extLst>
        </c:ser>
        <c:dLbls>
          <c:showLegendKey val="0"/>
          <c:showVal val="0"/>
          <c:showCatName val="0"/>
          <c:showSerName val="0"/>
          <c:showPercent val="0"/>
          <c:showBubbleSize val="0"/>
        </c:dLbls>
        <c:smooth val="0"/>
        <c:axId val="354667232"/>
        <c:axId val="354657152"/>
      </c:lineChart>
      <c:catAx>
        <c:axId val="35466723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IT"/>
          </a:p>
        </c:txPr>
        <c:crossAx val="354657152"/>
        <c:crosses val="autoZero"/>
        <c:auto val="1"/>
        <c:lblAlgn val="ctr"/>
        <c:lblOffset val="100"/>
        <c:noMultiLvlLbl val="0"/>
      </c:catAx>
      <c:valAx>
        <c:axId val="354657152"/>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Times New Roman" panose="02020603050405020304" pitchFamily="18" charset="0"/>
              </a:defRPr>
            </a:pPr>
            <a:endParaRPr lang="en-IT"/>
          </a:p>
        </c:txPr>
        <c:crossAx val="354667232"/>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Times New Roman" panose="02020603050405020304" pitchFamily="18" charset="0"/>
            </a:defRPr>
          </a:pPr>
          <a:endParaRPr lang="en-IT"/>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latin typeface="Times New Roman" panose="02020603050405020304" pitchFamily="18" charset="0"/>
          <a:cs typeface="Times New Roman" panose="02020603050405020304" pitchFamily="18" charset="0"/>
        </a:defRPr>
      </a:pPr>
      <a:endParaRPr lang="en-IT"/>
    </a:p>
  </c:txPr>
  <c:externalData r:id="rId3">
    <c:autoUpdate val="0"/>
  </c:externalData>
</c:chartSpace>
</file>

<file path=word/charts/chart2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'R&amp;D score'!$A$2</c:f>
              <c:strCache>
                <c:ptCount val="1"/>
                <c:pt idx="0">
                  <c:v>Albania</c:v>
                </c:pt>
              </c:strCache>
            </c:strRef>
          </c:tx>
          <c:spPr>
            <a:ln w="28575" cap="rnd">
              <a:solidFill>
                <a:schemeClr val="accent1"/>
              </a:solidFill>
              <a:round/>
            </a:ln>
            <a:effectLst/>
          </c:spPr>
          <c:marker>
            <c:symbol val="none"/>
          </c:marker>
          <c:cat>
            <c:numRef>
              <c:f>'R&amp;D score'!$E$1:$P$1</c:f>
              <c:numCache>
                <c:formatCode>General</c:formatCode>
                <c:ptCount val="12"/>
                <c:pt idx="0">
                  <c:v>2013</c:v>
                </c:pt>
                <c:pt idx="1">
                  <c:v>2014</c:v>
                </c:pt>
                <c:pt idx="2">
                  <c:v>2015</c:v>
                </c:pt>
                <c:pt idx="3">
                  <c:v>2016</c:v>
                </c:pt>
                <c:pt idx="4">
                  <c:v>2017</c:v>
                </c:pt>
                <c:pt idx="5">
                  <c:v>2018</c:v>
                </c:pt>
                <c:pt idx="6">
                  <c:v>2019</c:v>
                </c:pt>
                <c:pt idx="7">
                  <c:v>2020</c:v>
                </c:pt>
                <c:pt idx="8">
                  <c:v>2021</c:v>
                </c:pt>
                <c:pt idx="9">
                  <c:v>2022</c:v>
                </c:pt>
                <c:pt idx="10">
                  <c:v>2023</c:v>
                </c:pt>
                <c:pt idx="11">
                  <c:v>2024</c:v>
                </c:pt>
              </c:numCache>
            </c:numRef>
          </c:cat>
          <c:val>
            <c:numRef>
              <c:f>'R&amp;D score'!$E$2:$P$2</c:f>
              <c:numCache>
                <c:formatCode>General</c:formatCode>
                <c:ptCount val="12"/>
                <c:pt idx="0">
                  <c:v>2.4</c:v>
                </c:pt>
                <c:pt idx="1">
                  <c:v>2.7</c:v>
                </c:pt>
                <c:pt idx="2">
                  <c:v>1.7</c:v>
                </c:pt>
                <c:pt idx="3">
                  <c:v>1.1000000000000001</c:v>
                </c:pt>
                <c:pt idx="4">
                  <c:v>1.3</c:v>
                </c:pt>
                <c:pt idx="5">
                  <c:v>1.3</c:v>
                </c:pt>
                <c:pt idx="6">
                  <c:v>1.2</c:v>
                </c:pt>
                <c:pt idx="7">
                  <c:v>0</c:v>
                </c:pt>
                <c:pt idx="8">
                  <c:v>0</c:v>
                </c:pt>
                <c:pt idx="9">
                  <c:v>0</c:v>
                </c:pt>
                <c:pt idx="10" formatCode="0">
                  <c:v>0</c:v>
                </c:pt>
                <c:pt idx="11" formatCode="0">
                  <c:v>0</c:v>
                </c:pt>
              </c:numCache>
            </c:numRef>
          </c:val>
          <c:smooth val="0"/>
          <c:extLst>
            <c:ext xmlns:c16="http://schemas.microsoft.com/office/drawing/2014/chart" uri="{C3380CC4-5D6E-409C-BE32-E72D297353CC}">
              <c16:uniqueId val="{00000000-AEEB-4070-A01C-0AA8123CCFD3}"/>
            </c:ext>
          </c:extLst>
        </c:ser>
        <c:ser>
          <c:idx val="1"/>
          <c:order val="1"/>
          <c:tx>
            <c:strRef>
              <c:f>'R&amp;D score'!$A$3</c:f>
              <c:strCache>
                <c:ptCount val="1"/>
                <c:pt idx="0">
                  <c:v>Bosnia and Herzegovina</c:v>
                </c:pt>
              </c:strCache>
            </c:strRef>
          </c:tx>
          <c:spPr>
            <a:ln w="28575" cap="rnd">
              <a:solidFill>
                <a:schemeClr val="accent2"/>
              </a:solidFill>
              <a:round/>
            </a:ln>
            <a:effectLst/>
          </c:spPr>
          <c:marker>
            <c:symbol val="none"/>
          </c:marker>
          <c:cat>
            <c:numRef>
              <c:f>'R&amp;D score'!$E$1:$P$1</c:f>
              <c:numCache>
                <c:formatCode>General</c:formatCode>
                <c:ptCount val="12"/>
                <c:pt idx="0">
                  <c:v>2013</c:v>
                </c:pt>
                <c:pt idx="1">
                  <c:v>2014</c:v>
                </c:pt>
                <c:pt idx="2">
                  <c:v>2015</c:v>
                </c:pt>
                <c:pt idx="3">
                  <c:v>2016</c:v>
                </c:pt>
                <c:pt idx="4">
                  <c:v>2017</c:v>
                </c:pt>
                <c:pt idx="5">
                  <c:v>2018</c:v>
                </c:pt>
                <c:pt idx="6">
                  <c:v>2019</c:v>
                </c:pt>
                <c:pt idx="7">
                  <c:v>2020</c:v>
                </c:pt>
                <c:pt idx="8">
                  <c:v>2021</c:v>
                </c:pt>
                <c:pt idx="9">
                  <c:v>2022</c:v>
                </c:pt>
                <c:pt idx="10">
                  <c:v>2023</c:v>
                </c:pt>
                <c:pt idx="11">
                  <c:v>2024</c:v>
                </c:pt>
              </c:numCache>
            </c:numRef>
          </c:cat>
          <c:val>
            <c:numRef>
              <c:f>'R&amp;D score'!$E$3:$P$3</c:f>
              <c:numCache>
                <c:formatCode>General</c:formatCode>
                <c:ptCount val="12"/>
                <c:pt idx="0">
                  <c:v>2</c:v>
                </c:pt>
                <c:pt idx="1">
                  <c:v>2.4</c:v>
                </c:pt>
                <c:pt idx="2">
                  <c:v>2.6</c:v>
                </c:pt>
                <c:pt idx="3">
                  <c:v>2</c:v>
                </c:pt>
                <c:pt idx="4">
                  <c:v>2.2000000000000002</c:v>
                </c:pt>
                <c:pt idx="5">
                  <c:v>2.4</c:v>
                </c:pt>
                <c:pt idx="6">
                  <c:v>4.0999999999999996</c:v>
                </c:pt>
                <c:pt idx="7">
                  <c:v>2.2999999999999998</c:v>
                </c:pt>
                <c:pt idx="8">
                  <c:v>2.2000000000000002</c:v>
                </c:pt>
                <c:pt idx="9">
                  <c:v>1.4</c:v>
                </c:pt>
                <c:pt idx="10" formatCode="0.0">
                  <c:v>1.9486171120153899</c:v>
                </c:pt>
                <c:pt idx="11" formatCode="0.0">
                  <c:v>2.0500527337885401</c:v>
                </c:pt>
              </c:numCache>
            </c:numRef>
          </c:val>
          <c:smooth val="0"/>
          <c:extLst>
            <c:ext xmlns:c16="http://schemas.microsoft.com/office/drawing/2014/chart" uri="{C3380CC4-5D6E-409C-BE32-E72D297353CC}">
              <c16:uniqueId val="{00000001-AEEB-4070-A01C-0AA8123CCFD3}"/>
            </c:ext>
          </c:extLst>
        </c:ser>
        <c:ser>
          <c:idx val="2"/>
          <c:order val="2"/>
          <c:tx>
            <c:strRef>
              <c:f>'R&amp;D score'!$A$4</c:f>
              <c:strCache>
                <c:ptCount val="1"/>
                <c:pt idx="0">
                  <c:v>North Macedonia</c:v>
                </c:pt>
              </c:strCache>
            </c:strRef>
          </c:tx>
          <c:spPr>
            <a:ln w="28575" cap="rnd">
              <a:solidFill>
                <a:schemeClr val="accent3"/>
              </a:solidFill>
              <a:round/>
            </a:ln>
            <a:effectLst/>
          </c:spPr>
          <c:marker>
            <c:symbol val="none"/>
          </c:marker>
          <c:cat>
            <c:numRef>
              <c:f>'R&amp;D score'!$E$1:$P$1</c:f>
              <c:numCache>
                <c:formatCode>General</c:formatCode>
                <c:ptCount val="12"/>
                <c:pt idx="0">
                  <c:v>2013</c:v>
                </c:pt>
                <c:pt idx="1">
                  <c:v>2014</c:v>
                </c:pt>
                <c:pt idx="2">
                  <c:v>2015</c:v>
                </c:pt>
                <c:pt idx="3">
                  <c:v>2016</c:v>
                </c:pt>
                <c:pt idx="4">
                  <c:v>2017</c:v>
                </c:pt>
                <c:pt idx="5">
                  <c:v>2018</c:v>
                </c:pt>
                <c:pt idx="6">
                  <c:v>2019</c:v>
                </c:pt>
                <c:pt idx="7">
                  <c:v>2020</c:v>
                </c:pt>
                <c:pt idx="8">
                  <c:v>2021</c:v>
                </c:pt>
                <c:pt idx="9">
                  <c:v>2022</c:v>
                </c:pt>
                <c:pt idx="10">
                  <c:v>2023</c:v>
                </c:pt>
                <c:pt idx="11">
                  <c:v>2024</c:v>
                </c:pt>
              </c:numCache>
            </c:numRef>
          </c:cat>
          <c:val>
            <c:numRef>
              <c:f>'R&amp;D score'!$E$4:$P$4</c:f>
              <c:numCache>
                <c:formatCode>General</c:formatCode>
                <c:ptCount val="12"/>
                <c:pt idx="0">
                  <c:v>4.0999999999999996</c:v>
                </c:pt>
                <c:pt idx="1">
                  <c:v>4.2</c:v>
                </c:pt>
                <c:pt idx="2">
                  <c:v>3</c:v>
                </c:pt>
                <c:pt idx="3">
                  <c:v>4.8</c:v>
                </c:pt>
                <c:pt idx="4">
                  <c:v>5.0999999999999996</c:v>
                </c:pt>
                <c:pt idx="5">
                  <c:v>5</c:v>
                </c:pt>
                <c:pt idx="6">
                  <c:v>4</c:v>
                </c:pt>
                <c:pt idx="7">
                  <c:v>4.0999999999999996</c:v>
                </c:pt>
                <c:pt idx="8">
                  <c:v>4.0999999999999996</c:v>
                </c:pt>
                <c:pt idx="9">
                  <c:v>2.6</c:v>
                </c:pt>
                <c:pt idx="10" formatCode="0.0">
                  <c:v>3.5730304040687701</c:v>
                </c:pt>
                <c:pt idx="11" formatCode="0.0">
                  <c:v>3.3522709607420098</c:v>
                </c:pt>
              </c:numCache>
            </c:numRef>
          </c:val>
          <c:smooth val="0"/>
          <c:extLst>
            <c:ext xmlns:c16="http://schemas.microsoft.com/office/drawing/2014/chart" uri="{C3380CC4-5D6E-409C-BE32-E72D297353CC}">
              <c16:uniqueId val="{00000002-AEEB-4070-A01C-0AA8123CCFD3}"/>
            </c:ext>
          </c:extLst>
        </c:ser>
        <c:ser>
          <c:idx val="3"/>
          <c:order val="3"/>
          <c:tx>
            <c:strRef>
              <c:f>'R&amp;D score'!$A$5</c:f>
              <c:strCache>
                <c:ptCount val="1"/>
                <c:pt idx="0">
                  <c:v>Montenegro</c:v>
                </c:pt>
              </c:strCache>
            </c:strRef>
          </c:tx>
          <c:spPr>
            <a:ln w="28575" cap="rnd">
              <a:solidFill>
                <a:sysClr val="windowText" lastClr="000000"/>
              </a:solidFill>
              <a:prstDash val="dash"/>
              <a:round/>
            </a:ln>
            <a:effectLst/>
          </c:spPr>
          <c:marker>
            <c:symbol val="none"/>
          </c:marker>
          <c:cat>
            <c:numRef>
              <c:f>'R&amp;D score'!$E$1:$P$1</c:f>
              <c:numCache>
                <c:formatCode>General</c:formatCode>
                <c:ptCount val="12"/>
                <c:pt idx="0">
                  <c:v>2013</c:v>
                </c:pt>
                <c:pt idx="1">
                  <c:v>2014</c:v>
                </c:pt>
                <c:pt idx="2">
                  <c:v>2015</c:v>
                </c:pt>
                <c:pt idx="3">
                  <c:v>2016</c:v>
                </c:pt>
                <c:pt idx="4">
                  <c:v>2017</c:v>
                </c:pt>
                <c:pt idx="5">
                  <c:v>2018</c:v>
                </c:pt>
                <c:pt idx="6">
                  <c:v>2019</c:v>
                </c:pt>
                <c:pt idx="7">
                  <c:v>2020</c:v>
                </c:pt>
                <c:pt idx="8">
                  <c:v>2021</c:v>
                </c:pt>
                <c:pt idx="9">
                  <c:v>2022</c:v>
                </c:pt>
                <c:pt idx="10">
                  <c:v>2023</c:v>
                </c:pt>
                <c:pt idx="11">
                  <c:v>2024</c:v>
                </c:pt>
              </c:numCache>
            </c:numRef>
          </c:cat>
          <c:val>
            <c:numRef>
              <c:f>'R&amp;D score'!$E$5:$P$5</c:f>
              <c:numCache>
                <c:formatCode>General</c:formatCode>
                <c:ptCount val="12"/>
                <c:pt idx="0">
                  <c:v>11.3</c:v>
                </c:pt>
                <c:pt idx="1">
                  <c:v>10.8</c:v>
                </c:pt>
                <c:pt idx="2">
                  <c:v>6.2</c:v>
                </c:pt>
                <c:pt idx="3">
                  <c:v>3.9</c:v>
                </c:pt>
                <c:pt idx="4">
                  <c:v>4.5999999999999996</c:v>
                </c:pt>
                <c:pt idx="5">
                  <c:v>4.5999999999999996</c:v>
                </c:pt>
                <c:pt idx="6">
                  <c:v>3.8</c:v>
                </c:pt>
                <c:pt idx="7">
                  <c:v>4</c:v>
                </c:pt>
                <c:pt idx="8">
                  <c:v>4.7</c:v>
                </c:pt>
                <c:pt idx="9">
                  <c:v>2.5</c:v>
                </c:pt>
                <c:pt idx="10" formatCode="0.0">
                  <c:v>3.51298369383874</c:v>
                </c:pt>
                <c:pt idx="11" formatCode="0.0">
                  <c:v>3.3326957509669901</c:v>
                </c:pt>
              </c:numCache>
            </c:numRef>
          </c:val>
          <c:smooth val="0"/>
          <c:extLst>
            <c:ext xmlns:c16="http://schemas.microsoft.com/office/drawing/2014/chart" uri="{C3380CC4-5D6E-409C-BE32-E72D297353CC}">
              <c16:uniqueId val="{00000003-AEEB-4070-A01C-0AA8123CCFD3}"/>
            </c:ext>
          </c:extLst>
        </c:ser>
        <c:ser>
          <c:idx val="4"/>
          <c:order val="4"/>
          <c:tx>
            <c:strRef>
              <c:f>'R&amp;D score'!$A$6</c:f>
              <c:strCache>
                <c:ptCount val="1"/>
                <c:pt idx="0">
                  <c:v>Serbia</c:v>
                </c:pt>
              </c:strCache>
            </c:strRef>
          </c:tx>
          <c:spPr>
            <a:ln w="28575" cap="rnd">
              <a:solidFill>
                <a:schemeClr val="accent5"/>
              </a:solidFill>
              <a:round/>
            </a:ln>
            <a:effectLst/>
          </c:spPr>
          <c:marker>
            <c:symbol val="none"/>
          </c:marker>
          <c:cat>
            <c:numRef>
              <c:f>'R&amp;D score'!$E$1:$P$1</c:f>
              <c:numCache>
                <c:formatCode>General</c:formatCode>
                <c:ptCount val="12"/>
                <c:pt idx="0">
                  <c:v>2013</c:v>
                </c:pt>
                <c:pt idx="1">
                  <c:v>2014</c:v>
                </c:pt>
                <c:pt idx="2">
                  <c:v>2015</c:v>
                </c:pt>
                <c:pt idx="3">
                  <c:v>2016</c:v>
                </c:pt>
                <c:pt idx="4">
                  <c:v>2017</c:v>
                </c:pt>
                <c:pt idx="5">
                  <c:v>2018</c:v>
                </c:pt>
                <c:pt idx="6">
                  <c:v>2019</c:v>
                </c:pt>
                <c:pt idx="7">
                  <c:v>2020</c:v>
                </c:pt>
                <c:pt idx="8">
                  <c:v>2021</c:v>
                </c:pt>
                <c:pt idx="9">
                  <c:v>2022</c:v>
                </c:pt>
                <c:pt idx="10">
                  <c:v>2023</c:v>
                </c:pt>
                <c:pt idx="11">
                  <c:v>2024</c:v>
                </c:pt>
              </c:numCache>
            </c:numRef>
          </c:cat>
          <c:val>
            <c:numRef>
              <c:f>'R&amp;D score'!$E$6:$P$6</c:f>
              <c:numCache>
                <c:formatCode>General</c:formatCode>
                <c:ptCount val="12"/>
                <c:pt idx="0">
                  <c:v>11.4</c:v>
                </c:pt>
                <c:pt idx="1">
                  <c:v>11.6</c:v>
                </c:pt>
                <c:pt idx="2">
                  <c:v>14</c:v>
                </c:pt>
                <c:pt idx="3">
                  <c:v>9.8000000000000007</c:v>
                </c:pt>
                <c:pt idx="4">
                  <c:v>12.6</c:v>
                </c:pt>
                <c:pt idx="5">
                  <c:v>12.5</c:v>
                </c:pt>
                <c:pt idx="6">
                  <c:v>12</c:v>
                </c:pt>
                <c:pt idx="7">
                  <c:v>11.6</c:v>
                </c:pt>
                <c:pt idx="8">
                  <c:v>10.6</c:v>
                </c:pt>
                <c:pt idx="9">
                  <c:v>6.9</c:v>
                </c:pt>
                <c:pt idx="10" formatCode="0.0">
                  <c:v>10.111254387882299</c:v>
                </c:pt>
                <c:pt idx="11" formatCode="0.0">
                  <c:v>11.2477284775426</c:v>
                </c:pt>
              </c:numCache>
            </c:numRef>
          </c:val>
          <c:smooth val="0"/>
          <c:extLst>
            <c:ext xmlns:c16="http://schemas.microsoft.com/office/drawing/2014/chart" uri="{C3380CC4-5D6E-409C-BE32-E72D297353CC}">
              <c16:uniqueId val="{00000004-AEEB-4070-A01C-0AA8123CCFD3}"/>
            </c:ext>
          </c:extLst>
        </c:ser>
        <c:dLbls>
          <c:showLegendKey val="0"/>
          <c:showVal val="0"/>
          <c:showCatName val="0"/>
          <c:showSerName val="0"/>
          <c:showPercent val="0"/>
          <c:showBubbleSize val="0"/>
        </c:dLbls>
        <c:smooth val="0"/>
        <c:axId val="354656672"/>
        <c:axId val="354656192"/>
      </c:lineChart>
      <c:catAx>
        <c:axId val="35465667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Times New Roman" panose="02020603050405020304" pitchFamily="18" charset="0"/>
              </a:defRPr>
            </a:pPr>
            <a:endParaRPr lang="en-IT"/>
          </a:p>
        </c:txPr>
        <c:crossAx val="354656192"/>
        <c:crosses val="autoZero"/>
        <c:auto val="1"/>
        <c:lblAlgn val="ctr"/>
        <c:lblOffset val="100"/>
        <c:noMultiLvlLbl val="0"/>
      </c:catAx>
      <c:valAx>
        <c:axId val="354656192"/>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Times New Roman" panose="02020603050405020304" pitchFamily="18" charset="0"/>
              </a:defRPr>
            </a:pPr>
            <a:endParaRPr lang="en-IT"/>
          </a:p>
        </c:txPr>
        <c:crossAx val="354656672"/>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Times New Roman" panose="02020603050405020304" pitchFamily="18" charset="0"/>
            </a:defRPr>
          </a:pPr>
          <a:endParaRPr lang="en-IT"/>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latin typeface="Times New Roman" panose="02020603050405020304" pitchFamily="18" charset="0"/>
          <a:cs typeface="Times New Roman" panose="02020603050405020304" pitchFamily="18" charset="0"/>
        </a:defRPr>
      </a:pPr>
      <a:endParaRPr lang="en-IT"/>
    </a:p>
  </c:txPr>
  <c:externalData r:id="rId3">
    <c:autoUpdate val="0"/>
  </c:externalData>
</c:chartSpace>
</file>

<file path=word/charts/chart2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spPr>
            <a:ln w="28575" cap="rnd">
              <a:solidFill>
                <a:schemeClr val="accent1"/>
              </a:solidFill>
              <a:round/>
            </a:ln>
            <a:effectLst/>
          </c:spPr>
          <c:marker>
            <c:symbol val="circle"/>
            <c:size val="5"/>
            <c:spPr>
              <a:solidFill>
                <a:schemeClr val="accent1"/>
              </a:solidFill>
              <a:ln w="9525">
                <a:solidFill>
                  <a:schemeClr val="accent1"/>
                </a:solidFill>
              </a:ln>
              <a:effectLst/>
            </c:spPr>
          </c:marker>
          <c:dLbls>
            <c:dLbl>
              <c:idx val="0"/>
              <c:tx>
                <c:rich>
                  <a:bodyPr/>
                  <a:lstStyle/>
                  <a:p>
                    <a:fld id="{AFC54D6A-D5C1-40FF-8FB9-189EEC510EF7}" type="CELLRANGE">
                      <a:rPr lang="en-US"/>
                      <a:pPr/>
                      <a:t>[CELLRANGE]</a:t>
                    </a:fld>
                    <a:endParaRPr lang="en-150"/>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0-A79D-40EA-9656-EA18636E58CB}"/>
                </c:ext>
              </c:extLst>
            </c:dLbl>
            <c:dLbl>
              <c:idx val="1"/>
              <c:tx>
                <c:rich>
                  <a:bodyPr/>
                  <a:lstStyle/>
                  <a:p>
                    <a:fld id="{F1BFF17D-CCD3-451B-85B3-F2846A00DF50}" type="CELLRANGE">
                      <a:rPr lang="en-150"/>
                      <a:pPr/>
                      <a:t>[CELLRANGE]</a:t>
                    </a:fld>
                    <a:endParaRPr lang="en-150"/>
                  </a:p>
                </c:rich>
              </c:tx>
              <c:showLegendKey val="0"/>
              <c:showVal val="0"/>
              <c:showCatName val="0"/>
              <c:showSerName val="0"/>
              <c:showPercent val="0"/>
              <c:showBubbleSize val="0"/>
              <c:extLst>
                <c:ext xmlns:c15="http://schemas.microsoft.com/office/drawing/2012/chart" uri="{CE6537A1-D6FC-4f65-9D91-7224C49458BB}">
                  <c15:dlblFieldTable/>
                  <c15:xForSave val="1"/>
                  <c15:showDataLabelsRange val="1"/>
                </c:ext>
                <c:ext xmlns:c16="http://schemas.microsoft.com/office/drawing/2014/chart" uri="{C3380CC4-5D6E-409C-BE32-E72D297353CC}">
                  <c16:uniqueId val="{00000001-A79D-40EA-9656-EA18636E58CB}"/>
                </c:ext>
              </c:extLst>
            </c:dLbl>
            <c:dLbl>
              <c:idx val="2"/>
              <c:tx>
                <c:rich>
                  <a:bodyPr/>
                  <a:lstStyle/>
                  <a:p>
                    <a:fld id="{3F423295-4A97-4552-A1DF-211F8905F0A6}" type="CELLRANGE">
                      <a:rPr lang="en-150"/>
                      <a:pPr/>
                      <a:t>[CELLRANGE]</a:t>
                    </a:fld>
                    <a:endParaRPr lang="en-150"/>
                  </a:p>
                </c:rich>
              </c:tx>
              <c:showLegendKey val="0"/>
              <c:showVal val="0"/>
              <c:showCatName val="0"/>
              <c:showSerName val="0"/>
              <c:showPercent val="0"/>
              <c:showBubbleSize val="0"/>
              <c:extLst>
                <c:ext xmlns:c15="http://schemas.microsoft.com/office/drawing/2012/chart" uri="{CE6537A1-D6FC-4f65-9D91-7224C49458BB}">
                  <c15:dlblFieldTable/>
                  <c15:xForSave val="1"/>
                  <c15:showDataLabelsRange val="1"/>
                </c:ext>
                <c:ext xmlns:c16="http://schemas.microsoft.com/office/drawing/2014/chart" uri="{C3380CC4-5D6E-409C-BE32-E72D297353CC}">
                  <c16:uniqueId val="{00000002-A79D-40EA-9656-EA18636E58CB}"/>
                </c:ext>
              </c:extLst>
            </c:dLbl>
            <c:dLbl>
              <c:idx val="3"/>
              <c:tx>
                <c:rich>
                  <a:bodyPr/>
                  <a:lstStyle/>
                  <a:p>
                    <a:fld id="{CC6D56D9-25B7-490A-9A89-C4D8D2849D74}" type="CELLRANGE">
                      <a:rPr lang="en-150"/>
                      <a:pPr/>
                      <a:t>[CELLRANGE]</a:t>
                    </a:fld>
                    <a:endParaRPr lang="en-150"/>
                  </a:p>
                </c:rich>
              </c:tx>
              <c:showLegendKey val="0"/>
              <c:showVal val="0"/>
              <c:showCatName val="0"/>
              <c:showSerName val="0"/>
              <c:showPercent val="0"/>
              <c:showBubbleSize val="0"/>
              <c:extLst>
                <c:ext xmlns:c15="http://schemas.microsoft.com/office/drawing/2012/chart" uri="{CE6537A1-D6FC-4f65-9D91-7224C49458BB}">
                  <c15:dlblFieldTable/>
                  <c15:xForSave val="1"/>
                  <c15:showDataLabelsRange val="1"/>
                </c:ext>
                <c:ext xmlns:c16="http://schemas.microsoft.com/office/drawing/2014/chart" uri="{C3380CC4-5D6E-409C-BE32-E72D297353CC}">
                  <c16:uniqueId val="{00000003-A79D-40EA-9656-EA18636E58CB}"/>
                </c:ext>
              </c:extLst>
            </c:dLbl>
            <c:dLbl>
              <c:idx val="4"/>
              <c:tx>
                <c:rich>
                  <a:bodyPr/>
                  <a:lstStyle/>
                  <a:p>
                    <a:fld id="{28FD3DEE-BDD4-42DB-99E5-8EBE965925FB}" type="CELLRANGE">
                      <a:rPr lang="en-150"/>
                      <a:pPr/>
                      <a:t>[CELLRANGE]</a:t>
                    </a:fld>
                    <a:endParaRPr lang="en-150"/>
                  </a:p>
                </c:rich>
              </c:tx>
              <c:showLegendKey val="0"/>
              <c:showVal val="0"/>
              <c:showCatName val="0"/>
              <c:showSerName val="0"/>
              <c:showPercent val="0"/>
              <c:showBubbleSize val="0"/>
              <c:extLst>
                <c:ext xmlns:c15="http://schemas.microsoft.com/office/drawing/2012/chart" uri="{CE6537A1-D6FC-4f65-9D91-7224C49458BB}">
                  <c15:dlblFieldTable/>
                  <c15:xForSave val="1"/>
                  <c15:showDataLabelsRange val="1"/>
                </c:ext>
                <c:ext xmlns:c16="http://schemas.microsoft.com/office/drawing/2014/chart" uri="{C3380CC4-5D6E-409C-BE32-E72D297353CC}">
                  <c16:uniqueId val="{00000004-A79D-40EA-9656-EA18636E58CB}"/>
                </c:ext>
              </c:extLst>
            </c:dLbl>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mn-lt"/>
                    <a:ea typeface="+mn-ea"/>
                    <a:cs typeface="Times New Roman" panose="02020603050405020304" pitchFamily="18" charset="0"/>
                  </a:defRPr>
                </a:pPr>
                <a:endParaRPr lang="en-IT"/>
              </a:p>
            </c:txPr>
            <c:showLegendKey val="0"/>
            <c:showVal val="0"/>
            <c:showCatName val="0"/>
            <c:showSerName val="0"/>
            <c:showPercent val="0"/>
            <c:showBubbleSize val="0"/>
            <c:showLeaderLines val="0"/>
            <c:extLst>
              <c:ext xmlns:c15="http://schemas.microsoft.com/office/drawing/2012/chart" uri="{CE6537A1-D6FC-4f65-9D91-7224C49458BB}">
                <c15:showDataLabelsRange val="1"/>
                <c15:showLeaderLines val="0"/>
              </c:ext>
            </c:extLst>
          </c:dLbls>
          <c:cat>
            <c:strRef>
              <c:f>'ORBIS-sito web'!$E$19:$E$23</c:f>
              <c:strCache>
                <c:ptCount val="5"/>
                <c:pt idx="0">
                  <c:v>30-20</c:v>
                </c:pt>
                <c:pt idx="1">
                  <c:v>19-15</c:v>
                </c:pt>
                <c:pt idx="2">
                  <c:v>15-10</c:v>
                </c:pt>
                <c:pt idx="3">
                  <c:v>10-05</c:v>
                </c:pt>
                <c:pt idx="4">
                  <c:v>5-0</c:v>
                </c:pt>
              </c:strCache>
            </c:strRef>
          </c:cat>
          <c:val>
            <c:numRef>
              <c:f>'ORBIS-sito web'!$H$19:$H$23</c:f>
              <c:numCache>
                <c:formatCode>0.0%</c:formatCode>
                <c:ptCount val="5"/>
                <c:pt idx="0">
                  <c:v>0.31669647211835472</c:v>
                </c:pt>
                <c:pt idx="1">
                  <c:v>0.34274458305975047</c:v>
                </c:pt>
                <c:pt idx="2">
                  <c:v>0.42452617328519854</c:v>
                </c:pt>
                <c:pt idx="3">
                  <c:v>0.53138316250143958</c:v>
                </c:pt>
                <c:pt idx="4">
                  <c:v>5.1213623077900623E-2</c:v>
                </c:pt>
              </c:numCache>
            </c:numRef>
          </c:val>
          <c:smooth val="0"/>
          <c:extLst>
            <c:ext xmlns:c15="http://schemas.microsoft.com/office/drawing/2012/chart" uri="{02D57815-91ED-43cb-92C2-25804820EDAC}">
              <c15:datalabelsRange>
                <c15:f>'ORBIS-sito web'!$F$19:$F$23</c15:f>
                <c15:dlblRangeCache>
                  <c:ptCount val="5"/>
                  <c:pt idx="0">
                    <c:v>1948</c:v>
                  </c:pt>
                  <c:pt idx="1">
                    <c:v>3132</c:v>
                  </c:pt>
                  <c:pt idx="2">
                    <c:v>3763</c:v>
                  </c:pt>
                  <c:pt idx="3">
                    <c:v>4614</c:v>
                  </c:pt>
                  <c:pt idx="4">
                    <c:v>806</c:v>
                  </c:pt>
                </c15:dlblRangeCache>
              </c15:datalabelsRange>
            </c:ext>
            <c:ext xmlns:c16="http://schemas.microsoft.com/office/drawing/2014/chart" uri="{C3380CC4-5D6E-409C-BE32-E72D297353CC}">
              <c16:uniqueId val="{00000005-A79D-40EA-9656-EA18636E58CB}"/>
            </c:ext>
          </c:extLst>
        </c:ser>
        <c:dLbls>
          <c:showLegendKey val="0"/>
          <c:showVal val="1"/>
          <c:showCatName val="0"/>
          <c:showSerName val="0"/>
          <c:showPercent val="0"/>
          <c:showBubbleSize val="0"/>
        </c:dLbls>
        <c:marker val="1"/>
        <c:smooth val="0"/>
        <c:axId val="469731119"/>
        <c:axId val="469744079"/>
      </c:lineChart>
      <c:catAx>
        <c:axId val="469731119"/>
        <c:scaling>
          <c:orientation val="minMax"/>
        </c:scaling>
        <c:delete val="0"/>
        <c:axPos val="b"/>
        <c:title>
          <c:tx>
            <c:rich>
              <a:bodyPr rot="0" spcFirstLastPara="1" vertOverflow="ellipsis" vert="horz" wrap="square" anchor="ctr" anchorCtr="1"/>
              <a:lstStyle/>
              <a:p>
                <a:pPr>
                  <a:defRPr sz="900" b="0" i="0" u="none" strike="noStrike" kern="1200" baseline="0">
                    <a:solidFill>
                      <a:sysClr val="windowText" lastClr="000000"/>
                    </a:solidFill>
                    <a:latin typeface="+mn-lt"/>
                    <a:ea typeface="+mn-ea"/>
                    <a:cs typeface="Times New Roman" panose="02020603050405020304" pitchFamily="18" charset="0"/>
                  </a:defRPr>
                </a:pPr>
                <a:r>
                  <a:rPr lang="it-IT" sz="900">
                    <a:latin typeface="+mn-lt"/>
                  </a:rPr>
                  <a:t>Years_old</a:t>
                </a:r>
              </a:p>
            </c:rich>
          </c:tx>
          <c:overlay val="0"/>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mn-lt"/>
                  <a:ea typeface="+mn-ea"/>
                  <a:cs typeface="Times New Roman" panose="02020603050405020304" pitchFamily="18" charset="0"/>
                </a:defRPr>
              </a:pPr>
              <a:endParaRPr lang="en-IT"/>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Times New Roman" panose="02020603050405020304" pitchFamily="18" charset="0"/>
              </a:defRPr>
            </a:pPr>
            <a:endParaRPr lang="en-IT"/>
          </a:p>
        </c:txPr>
        <c:crossAx val="469744079"/>
        <c:crosses val="autoZero"/>
        <c:auto val="1"/>
        <c:lblAlgn val="ctr"/>
        <c:lblOffset val="100"/>
        <c:noMultiLvlLbl val="0"/>
      </c:catAx>
      <c:valAx>
        <c:axId val="469744079"/>
        <c:scaling>
          <c:orientation val="minMax"/>
        </c:scaling>
        <c:delete val="0"/>
        <c:axPos val="l"/>
        <c:majorGridlines>
          <c:spPr>
            <a:ln w="9525" cap="flat" cmpd="sng" algn="ctr">
              <a:solidFill>
                <a:schemeClr val="tx1">
                  <a:lumMod val="15000"/>
                  <a:lumOff val="85000"/>
                </a:schemeClr>
              </a:solidFill>
              <a:round/>
            </a:ln>
            <a:effectLst/>
          </c:spPr>
        </c:majorGridlines>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Times New Roman" panose="02020603050405020304" pitchFamily="18" charset="0"/>
              </a:defRPr>
            </a:pPr>
            <a:endParaRPr lang="en-IT"/>
          </a:p>
        </c:txPr>
        <c:crossAx val="469731119"/>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1050">
          <a:solidFill>
            <a:sysClr val="windowText" lastClr="000000"/>
          </a:solidFill>
          <a:latin typeface="Times New Roman" panose="02020603050405020304" pitchFamily="18" charset="0"/>
          <a:cs typeface="Times New Roman" panose="02020603050405020304" pitchFamily="18" charset="0"/>
        </a:defRPr>
      </a:pPr>
      <a:endParaRPr lang="en-IT"/>
    </a:p>
  </c:txPr>
  <c:externalData r:id="rId3">
    <c:autoUpdate val="0"/>
  </c:externalData>
</c:chartSpace>
</file>

<file path=word/charts/chart2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3"/>
    </mc:Choice>
    <mc:Fallback>
      <c:style val="3"/>
    </mc:Fallback>
  </mc:AlternateContent>
  <c:chart>
    <c:autoTitleDeleted val="1"/>
    <c:plotArea>
      <c:layout/>
      <c:barChart>
        <c:barDir val="bar"/>
        <c:grouping val="clustered"/>
        <c:varyColors val="0"/>
        <c:ser>
          <c:idx val="1"/>
          <c:order val="0"/>
          <c:tx>
            <c:strRef>
              <c:f>'ORBIS-sito web'!$AI$1</c:f>
              <c:strCache>
                <c:ptCount val="1"/>
                <c:pt idx="0">
                  <c:v>% on the total firms</c:v>
                </c:pt>
              </c:strCache>
            </c:strRef>
          </c:tx>
          <c:spPr>
            <a:solidFill>
              <a:schemeClr val="accent1">
                <a:tint val="77000"/>
              </a:schemeClr>
            </a:solidFill>
            <a:ln>
              <a:noFill/>
            </a:ln>
            <a:effectLst/>
          </c:spPr>
          <c:invertIfNegative val="0"/>
          <c:cat>
            <c:strRef>
              <c:f>'ORBIS-sito web'!$AG$2:$AG$11</c:f>
              <c:strCache>
                <c:ptCount val="10"/>
                <c:pt idx="0">
                  <c:v>Architectural and engineering activities and related technical consultancy - 711</c:v>
                </c:pt>
                <c:pt idx="1">
                  <c:v>Hotels and similar accommodation - 551</c:v>
                </c:pt>
                <c:pt idx="2">
                  <c:v>Retail sale of other goods in specialised stores - 477</c:v>
                </c:pt>
                <c:pt idx="3">
                  <c:v>Non-specialised wholesale trade - 469</c:v>
                </c:pt>
                <c:pt idx="4">
                  <c:v>Retail sale in non-specialised stores - 471</c:v>
                </c:pt>
                <c:pt idx="5">
                  <c:v>Construction of residential and non-residential buildings - 412</c:v>
                </c:pt>
                <c:pt idx="6">
                  <c:v>Restaurants and mobile food service activities - 561</c:v>
                </c:pt>
                <c:pt idx="7">
                  <c:v>Management consultancy activities - 702</c:v>
                </c:pt>
                <c:pt idx="8">
                  <c:v>Beverage serving activities - 563</c:v>
                </c:pt>
                <c:pt idx="9">
                  <c:v>Other land passenger transport - 493</c:v>
                </c:pt>
              </c:strCache>
            </c:strRef>
          </c:cat>
          <c:val>
            <c:numRef>
              <c:f>'ORBIS-sito web'!$AI$2:$AI$11</c:f>
              <c:numCache>
                <c:formatCode>0%</c:formatCode>
                <c:ptCount val="10"/>
                <c:pt idx="0">
                  <c:v>0.43905191873589167</c:v>
                </c:pt>
                <c:pt idx="1">
                  <c:v>0.43654822335025378</c:v>
                </c:pt>
                <c:pt idx="2">
                  <c:v>0.39719626168224298</c:v>
                </c:pt>
                <c:pt idx="3">
                  <c:v>0.37232924693520142</c:v>
                </c:pt>
                <c:pt idx="4">
                  <c:v>0.3669284467713787</c:v>
                </c:pt>
                <c:pt idx="5">
                  <c:v>0.31928127159640635</c:v>
                </c:pt>
                <c:pt idx="6">
                  <c:v>0.310762331838565</c:v>
                </c:pt>
                <c:pt idx="7">
                  <c:v>0.2924847664184157</c:v>
                </c:pt>
                <c:pt idx="8">
                  <c:v>0.29120589784096895</c:v>
                </c:pt>
                <c:pt idx="9">
                  <c:v>0.20707892595606184</c:v>
                </c:pt>
              </c:numCache>
            </c:numRef>
          </c:val>
          <c:extLst>
            <c:ext xmlns:c16="http://schemas.microsoft.com/office/drawing/2014/chart" uri="{C3380CC4-5D6E-409C-BE32-E72D297353CC}">
              <c16:uniqueId val="{00000000-04D9-4C74-8B43-ADF59EB2F998}"/>
            </c:ext>
          </c:extLst>
        </c:ser>
        <c:dLbls>
          <c:showLegendKey val="0"/>
          <c:showVal val="0"/>
          <c:showCatName val="0"/>
          <c:showSerName val="0"/>
          <c:showPercent val="0"/>
          <c:showBubbleSize val="0"/>
        </c:dLbls>
        <c:gapWidth val="150"/>
        <c:axId val="824372079"/>
        <c:axId val="824370639"/>
      </c:barChart>
      <c:catAx>
        <c:axId val="824372079"/>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Times New Roman" panose="02020603050405020304" pitchFamily="18" charset="0"/>
              </a:defRPr>
            </a:pPr>
            <a:endParaRPr lang="en-IT"/>
          </a:p>
        </c:txPr>
        <c:crossAx val="824370639"/>
        <c:crosses val="autoZero"/>
        <c:auto val="1"/>
        <c:lblAlgn val="ctr"/>
        <c:lblOffset val="100"/>
        <c:noMultiLvlLbl val="0"/>
      </c:catAx>
      <c:valAx>
        <c:axId val="824370639"/>
        <c:scaling>
          <c:orientation val="minMax"/>
        </c:scaling>
        <c:delete val="0"/>
        <c:axPos val="b"/>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Times New Roman" panose="02020603050405020304" pitchFamily="18" charset="0"/>
              </a:defRPr>
            </a:pPr>
            <a:endParaRPr lang="en-IT"/>
          </a:p>
        </c:txPr>
        <c:crossAx val="824372079"/>
        <c:crosses val="autoZero"/>
        <c:crossBetween val="between"/>
      </c:valAx>
      <c:spPr>
        <a:noFill/>
        <a:ln>
          <a:noFill/>
        </a:ln>
        <a:effectLst/>
      </c:spPr>
    </c:plotArea>
    <c:legend>
      <c:legendPos val="t"/>
      <c:overlay val="0"/>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mn-lt"/>
              <a:ea typeface="+mn-ea"/>
              <a:cs typeface="Times New Roman" panose="02020603050405020304" pitchFamily="18" charset="0"/>
            </a:defRPr>
          </a:pPr>
          <a:endParaRPr lang="en-IT"/>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solidFill>
            <a:sysClr val="windowText" lastClr="000000"/>
          </a:solidFill>
          <a:latin typeface="Times New Roman" panose="02020603050405020304" pitchFamily="18" charset="0"/>
          <a:cs typeface="Times New Roman" panose="02020603050405020304" pitchFamily="18" charset="0"/>
        </a:defRPr>
      </a:pPr>
      <a:endParaRPr lang="en-IT"/>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2.xml><?xml version="1.0" encoding="utf-8"?>
<cs:colorStyle xmlns:cs="http://schemas.microsoft.com/office/drawing/2012/chartStyle" xmlns:a="http://schemas.openxmlformats.org/drawingml/2006/main" meth="withinLinear" id="14">
  <a:schemeClr val="accent1"/>
</cs:colorStyle>
</file>

<file path=word/charts/style1.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0.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1.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3.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6.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7.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8.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9.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0.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1.xml><?xml version="1.0" encoding="utf-8"?>
<cs:chartStyle xmlns:cs="http://schemas.microsoft.com/office/drawing/2012/chartStyle" xmlns:a="http://schemas.openxmlformats.org/drawingml/2006/main" id="33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2884A7E-81CE-401E-B2C2-FD398DF5B8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223</TotalTime>
  <Pages>42</Pages>
  <Words>10025</Words>
  <Characters>57744</Characters>
  <Application>Microsoft Office Word</Application>
  <DocSecurity>0</DocSecurity>
  <Lines>2062</Lines>
  <Paragraphs>1328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FABBRI Emanuele (JRC-SEVILLA)</dc:creator>
  <cp:keywords/>
  <dc:description/>
  <cp:lastModifiedBy>FABBRI Emanuele (JRC-SEVILLA)</cp:lastModifiedBy>
  <cp:revision>3</cp:revision>
  <dcterms:created xsi:type="dcterms:W3CDTF">2026-02-02T14:22:00Z</dcterms:created>
  <dcterms:modified xsi:type="dcterms:W3CDTF">2026-02-06T11:02:00Z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6bd9ddd1-4d20-43f6-abfa-fc3c07406f94_Enabled">
    <vt:lpwstr>true</vt:lpwstr>
  </property>
  <property fmtid="{D5CDD505-2E9C-101B-9397-08002B2CF9AE}" pid="3" name="MSIP_Label_6bd9ddd1-4d20-43f6-abfa-fc3c07406f94_SetDate">
    <vt:lpwstr>2026-02-03T11:59:16Z</vt:lpwstr>
  </property>
  <property fmtid="{D5CDD505-2E9C-101B-9397-08002B2CF9AE}" pid="4" name="MSIP_Label_6bd9ddd1-4d20-43f6-abfa-fc3c07406f94_Method">
    <vt:lpwstr>Standard</vt:lpwstr>
  </property>
  <property fmtid="{D5CDD505-2E9C-101B-9397-08002B2CF9AE}" pid="5" name="MSIP_Label_6bd9ddd1-4d20-43f6-abfa-fc3c07406f94_Name">
    <vt:lpwstr>Commission Use</vt:lpwstr>
  </property>
  <property fmtid="{D5CDD505-2E9C-101B-9397-08002B2CF9AE}" pid="6" name="MSIP_Label_6bd9ddd1-4d20-43f6-abfa-fc3c07406f94_SiteId">
    <vt:lpwstr>b24c8b06-522c-46fe-9080-70926f8dddb1</vt:lpwstr>
  </property>
  <property fmtid="{D5CDD505-2E9C-101B-9397-08002B2CF9AE}" pid="7" name="MSIP_Label_6bd9ddd1-4d20-43f6-abfa-fc3c07406f94_ActionId">
    <vt:lpwstr>9ecd6866-692d-496c-9154-2e5d7663e3a6</vt:lpwstr>
  </property>
  <property fmtid="{D5CDD505-2E9C-101B-9397-08002B2CF9AE}" pid="8" name="MSIP_Label_6bd9ddd1-4d20-43f6-abfa-fc3c07406f94_ContentBits">
    <vt:lpwstr>0</vt:lpwstr>
  </property>
  <property fmtid="{D5CDD505-2E9C-101B-9397-08002B2CF9AE}" pid="9" name="MSIP_Label_6bd9ddd1-4d20-43f6-abfa-fc3c07406f94_Tag">
    <vt:lpwstr>10, 3, 0, 1</vt:lpwstr>
  </property>
</Properties>
</file>